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3B" w:rsidRPr="00A2568D" w:rsidRDefault="00F54348" w:rsidP="00BD1F24">
      <w:pPr>
        <w:spacing w:after="0" w:line="240" w:lineRule="auto"/>
        <w:jc w:val="center"/>
        <w:rPr>
          <w:rFonts w:ascii="Book Antiqua" w:hAnsi="Book Antiqua"/>
          <w:b/>
          <w:smallCaps/>
          <w:sz w:val="28"/>
        </w:rPr>
      </w:pPr>
      <w:r w:rsidRPr="00A2568D">
        <w:rPr>
          <w:rFonts w:ascii="Book Antiqua" w:hAnsi="Book Antiqua"/>
          <w:b/>
          <w:smallCaps/>
          <w:sz w:val="28"/>
        </w:rPr>
        <w:t xml:space="preserve">Lloyds </w:t>
      </w:r>
      <w:r w:rsidR="00587C3B" w:rsidRPr="00A2568D">
        <w:rPr>
          <w:rFonts w:ascii="Book Antiqua" w:hAnsi="Book Antiqua"/>
          <w:b/>
          <w:smallCaps/>
          <w:sz w:val="28"/>
        </w:rPr>
        <w:t xml:space="preserve">Bank </w:t>
      </w:r>
      <w:r w:rsidR="00505AE3" w:rsidRPr="00A2568D">
        <w:rPr>
          <w:rFonts w:ascii="Book Antiqua" w:hAnsi="Book Antiqua"/>
          <w:b/>
          <w:smallCaps/>
          <w:sz w:val="28"/>
        </w:rPr>
        <w:t xml:space="preserve">- </w:t>
      </w:r>
      <w:r w:rsidR="00587C3B" w:rsidRPr="00A2568D">
        <w:rPr>
          <w:rFonts w:ascii="Book Antiqua" w:hAnsi="Book Antiqua"/>
          <w:b/>
          <w:smallCaps/>
          <w:sz w:val="28"/>
        </w:rPr>
        <w:t>I</w:t>
      </w:r>
      <w:r w:rsidR="00505AE3" w:rsidRPr="00A2568D">
        <w:rPr>
          <w:rFonts w:ascii="Book Antiqua" w:hAnsi="Book Antiqua"/>
          <w:b/>
          <w:smallCaps/>
          <w:sz w:val="28"/>
        </w:rPr>
        <w:t xml:space="preserve">nterest </w:t>
      </w:r>
      <w:r w:rsidR="00A2568D" w:rsidRPr="00A2568D">
        <w:rPr>
          <w:rFonts w:ascii="Book Antiqua" w:hAnsi="Book Antiqua"/>
          <w:b/>
          <w:smallCaps/>
          <w:sz w:val="28"/>
        </w:rPr>
        <w:t>R</w:t>
      </w:r>
      <w:r w:rsidR="00505AE3" w:rsidRPr="00A2568D">
        <w:rPr>
          <w:rFonts w:ascii="Book Antiqua" w:hAnsi="Book Antiqua"/>
          <w:b/>
          <w:smallCaps/>
          <w:sz w:val="28"/>
        </w:rPr>
        <w:t>ate Hedging Product (IR</w:t>
      </w:r>
      <w:r w:rsidR="00587C3B" w:rsidRPr="00A2568D">
        <w:rPr>
          <w:rFonts w:ascii="Book Antiqua" w:hAnsi="Book Antiqua"/>
          <w:b/>
          <w:smallCaps/>
          <w:sz w:val="28"/>
        </w:rPr>
        <w:t>HP</w:t>
      </w:r>
      <w:r w:rsidR="00505AE3" w:rsidRPr="00A2568D">
        <w:rPr>
          <w:rFonts w:ascii="Book Antiqua" w:hAnsi="Book Antiqua"/>
          <w:b/>
          <w:smallCaps/>
          <w:sz w:val="28"/>
        </w:rPr>
        <w:t>)</w:t>
      </w:r>
      <w:r w:rsidR="00587C3B" w:rsidRPr="00A2568D">
        <w:rPr>
          <w:rFonts w:ascii="Book Antiqua" w:hAnsi="Book Antiqua"/>
          <w:b/>
          <w:smallCaps/>
          <w:sz w:val="28"/>
        </w:rPr>
        <w:t xml:space="preserve"> Mis-selling</w:t>
      </w:r>
      <w:r w:rsidRPr="00A2568D">
        <w:rPr>
          <w:rFonts w:ascii="Book Antiqua" w:hAnsi="Book Antiqua"/>
          <w:b/>
          <w:smallCaps/>
          <w:sz w:val="28"/>
        </w:rPr>
        <w:t xml:space="preserve"> </w:t>
      </w:r>
    </w:p>
    <w:p w:rsidR="00563D2E" w:rsidRDefault="00505AE3" w:rsidP="00505AE3">
      <w:pPr>
        <w:spacing w:after="0" w:line="240" w:lineRule="auto"/>
        <w:jc w:val="center"/>
        <w:rPr>
          <w:rFonts w:ascii="Book Antiqua" w:hAnsi="Book Antiqua"/>
          <w:b/>
          <w:sz w:val="28"/>
          <w:szCs w:val="28"/>
        </w:rPr>
      </w:pPr>
      <w:r w:rsidRPr="00A2568D">
        <w:rPr>
          <w:rFonts w:ascii="Book Antiqua" w:hAnsi="Book Antiqua"/>
          <w:b/>
          <w:smallCaps/>
          <w:sz w:val="28"/>
          <w:szCs w:val="28"/>
        </w:rPr>
        <w:t>£4.6 M</w:t>
      </w:r>
      <w:r w:rsidR="00F54348" w:rsidRPr="00A2568D">
        <w:rPr>
          <w:rFonts w:ascii="Book Antiqua" w:hAnsi="Book Antiqua"/>
          <w:b/>
          <w:smallCaps/>
          <w:sz w:val="28"/>
          <w:szCs w:val="28"/>
        </w:rPr>
        <w:t>illion</w:t>
      </w:r>
      <w:r w:rsidRPr="00A2568D">
        <w:rPr>
          <w:rFonts w:ascii="Book Antiqua" w:hAnsi="Book Antiqua"/>
          <w:b/>
          <w:smallCaps/>
          <w:sz w:val="28"/>
          <w:szCs w:val="28"/>
        </w:rPr>
        <w:t xml:space="preserve"> GBP</w:t>
      </w:r>
      <w:r w:rsidR="00F54348" w:rsidRPr="00A2568D">
        <w:rPr>
          <w:rFonts w:ascii="Book Antiqua" w:hAnsi="Book Antiqua"/>
          <w:b/>
          <w:smallCaps/>
          <w:sz w:val="28"/>
          <w:szCs w:val="28"/>
        </w:rPr>
        <w:t xml:space="preserve"> </w:t>
      </w:r>
      <w:r w:rsidRPr="00A2568D">
        <w:rPr>
          <w:rFonts w:ascii="Book Antiqua" w:hAnsi="Book Antiqua"/>
          <w:b/>
          <w:smallCaps/>
          <w:sz w:val="28"/>
          <w:szCs w:val="28"/>
        </w:rPr>
        <w:t xml:space="preserve">Litigation </w:t>
      </w:r>
      <w:r w:rsidR="00587C3B" w:rsidRPr="00A2568D">
        <w:rPr>
          <w:rFonts w:ascii="Book Antiqua" w:hAnsi="Book Antiqua"/>
          <w:b/>
          <w:smallCaps/>
          <w:sz w:val="28"/>
          <w:szCs w:val="28"/>
        </w:rPr>
        <w:t xml:space="preserve">Settlement </w:t>
      </w:r>
      <w:r w:rsidR="00F54348" w:rsidRPr="00A2568D">
        <w:rPr>
          <w:rFonts w:ascii="Book Antiqua" w:hAnsi="Book Antiqua"/>
          <w:b/>
          <w:smallCaps/>
          <w:sz w:val="28"/>
          <w:szCs w:val="28"/>
        </w:rPr>
        <w:t xml:space="preserve">with </w:t>
      </w:r>
      <w:r w:rsidR="002D14EA" w:rsidRPr="00A2568D">
        <w:rPr>
          <w:rFonts w:ascii="Book Antiqua" w:hAnsi="Book Antiqua"/>
          <w:b/>
          <w:smallCaps/>
          <w:sz w:val="28"/>
          <w:szCs w:val="28"/>
        </w:rPr>
        <w:t>SME Care Home</w:t>
      </w:r>
    </w:p>
    <w:p w:rsidR="00505AE3" w:rsidRPr="00587C3B" w:rsidRDefault="00505AE3" w:rsidP="00505AE3">
      <w:pPr>
        <w:spacing w:after="0" w:line="240" w:lineRule="auto"/>
        <w:jc w:val="center"/>
        <w:rPr>
          <w:rFonts w:ascii="Book Antiqua" w:hAnsi="Book Antiqua"/>
          <w:b/>
          <w:sz w:val="28"/>
          <w:szCs w:val="28"/>
        </w:rPr>
      </w:pPr>
    </w:p>
    <w:p w:rsidR="003D75CD" w:rsidRDefault="00587C3B" w:rsidP="00587C3B">
      <w:pPr>
        <w:spacing w:line="240" w:lineRule="auto"/>
        <w:jc w:val="both"/>
      </w:pPr>
      <w:r>
        <w:rPr>
          <w:rFonts w:ascii="Book Antiqua" w:hAnsi="Book Antiqua"/>
        </w:rPr>
        <w:t xml:space="preserve">LONDON, UK - </w:t>
      </w:r>
      <w:r w:rsidR="00827976">
        <w:rPr>
          <w:rFonts w:ascii="Book Antiqua" w:hAnsi="Book Antiqua"/>
        </w:rPr>
        <w:t xml:space="preserve">Lloyds </w:t>
      </w:r>
      <w:r>
        <w:rPr>
          <w:rFonts w:ascii="Book Antiqua" w:hAnsi="Book Antiqua"/>
        </w:rPr>
        <w:t xml:space="preserve">Bank Plc (LLOY.L) </w:t>
      </w:r>
      <w:r w:rsidR="00827976">
        <w:rPr>
          <w:rFonts w:ascii="Book Antiqua" w:hAnsi="Book Antiqua"/>
        </w:rPr>
        <w:t>has settled a High Court claim</w:t>
      </w:r>
      <w:r w:rsidR="000766DC">
        <w:rPr>
          <w:rStyle w:val="FootnoteReference"/>
          <w:rFonts w:ascii="Book Antiqua" w:hAnsi="Book Antiqua"/>
        </w:rPr>
        <w:footnoteReference w:id="1"/>
      </w:r>
      <w:r w:rsidR="00827976">
        <w:rPr>
          <w:rFonts w:ascii="Book Antiqua" w:hAnsi="Book Antiqua"/>
        </w:rPr>
        <w:t xml:space="preserve"> </w:t>
      </w:r>
      <w:r>
        <w:rPr>
          <w:rFonts w:ascii="Book Antiqua" w:hAnsi="Book Antiqua"/>
        </w:rPr>
        <w:t>over</w:t>
      </w:r>
      <w:r w:rsidR="00827976">
        <w:rPr>
          <w:rFonts w:ascii="Book Antiqua" w:hAnsi="Book Antiqua"/>
        </w:rPr>
        <w:t xml:space="preserve"> the mis-selling of three complex </w:t>
      </w:r>
      <w:r w:rsidR="00505AE3">
        <w:rPr>
          <w:rFonts w:ascii="Book Antiqua" w:hAnsi="Book Antiqua"/>
        </w:rPr>
        <w:t xml:space="preserve">financial </w:t>
      </w:r>
      <w:r w:rsidR="008D332E">
        <w:rPr>
          <w:rFonts w:ascii="Book Antiqua" w:hAnsi="Book Antiqua"/>
        </w:rPr>
        <w:t>derivatives</w:t>
      </w:r>
      <w:r w:rsidR="00125538">
        <w:rPr>
          <w:rStyle w:val="FootnoteReference"/>
          <w:rFonts w:ascii="Book Antiqua" w:hAnsi="Book Antiqua"/>
        </w:rPr>
        <w:footnoteReference w:id="2"/>
      </w:r>
      <w:r>
        <w:rPr>
          <w:rFonts w:ascii="Book Antiqua" w:hAnsi="Book Antiqua"/>
        </w:rPr>
        <w:t>,</w:t>
      </w:r>
      <w:r w:rsidR="00827976">
        <w:rPr>
          <w:rFonts w:ascii="Book Antiqua" w:hAnsi="Book Antiqua"/>
        </w:rPr>
        <w:t xml:space="preserve"> </w:t>
      </w:r>
      <w:r>
        <w:rPr>
          <w:rFonts w:ascii="Book Antiqua" w:hAnsi="Book Antiqua"/>
        </w:rPr>
        <w:t xml:space="preserve">sold </w:t>
      </w:r>
      <w:r w:rsidR="003D75CD">
        <w:rPr>
          <w:rFonts w:ascii="Book Antiqua" w:hAnsi="Book Antiqua"/>
        </w:rPr>
        <w:t xml:space="preserve">initially </w:t>
      </w:r>
      <w:r w:rsidR="00827976">
        <w:rPr>
          <w:rFonts w:ascii="Book Antiqua" w:hAnsi="Book Antiqua"/>
        </w:rPr>
        <w:t xml:space="preserve">in July 2007 and </w:t>
      </w:r>
      <w:r w:rsidR="003D75CD">
        <w:rPr>
          <w:rFonts w:ascii="Book Antiqua" w:hAnsi="Book Antiqua"/>
        </w:rPr>
        <w:t xml:space="preserve">then </w:t>
      </w:r>
      <w:r w:rsidR="00471A69">
        <w:rPr>
          <w:rFonts w:ascii="Book Antiqua" w:hAnsi="Book Antiqua"/>
        </w:rPr>
        <w:t xml:space="preserve">restructured in </w:t>
      </w:r>
      <w:r w:rsidR="00827976">
        <w:rPr>
          <w:rFonts w:ascii="Book Antiqua" w:hAnsi="Book Antiqua"/>
        </w:rPr>
        <w:t>December 2008</w:t>
      </w:r>
      <w:r w:rsidR="003D75CD">
        <w:rPr>
          <w:rStyle w:val="FootnoteReference"/>
          <w:rFonts w:ascii="Book Antiqua" w:hAnsi="Book Antiqua"/>
        </w:rPr>
        <w:footnoteReference w:id="3"/>
      </w:r>
      <w:r>
        <w:rPr>
          <w:rFonts w:ascii="Book Antiqua" w:hAnsi="Book Antiqua"/>
        </w:rPr>
        <w:t>, to T</w:t>
      </w:r>
      <w:r w:rsidR="00827976">
        <w:rPr>
          <w:rFonts w:ascii="Book Antiqua" w:hAnsi="Book Antiqua"/>
        </w:rPr>
        <w:t>he Coin Group</w:t>
      </w:r>
      <w:r>
        <w:rPr>
          <w:rFonts w:ascii="Book Antiqua" w:hAnsi="Book Antiqua"/>
        </w:rPr>
        <w:t xml:space="preserve"> Limited</w:t>
      </w:r>
      <w:r w:rsidR="00827976">
        <w:rPr>
          <w:rFonts w:ascii="Book Antiqua" w:hAnsi="Book Antiqua"/>
        </w:rPr>
        <w:t xml:space="preserve">, an SME that operates care homes in </w:t>
      </w:r>
      <w:r>
        <w:rPr>
          <w:rFonts w:ascii="Book Antiqua" w:hAnsi="Book Antiqua"/>
        </w:rPr>
        <w:t>Buckinghamshire</w:t>
      </w:r>
      <w:r w:rsidR="00827976">
        <w:rPr>
          <w:rFonts w:ascii="Book Antiqua" w:hAnsi="Book Antiqua"/>
        </w:rPr>
        <w:t>.</w:t>
      </w:r>
      <w:r w:rsidR="003D75CD" w:rsidRPr="003D75CD">
        <w:t xml:space="preserve"> </w:t>
      </w:r>
    </w:p>
    <w:p w:rsidR="00691D8E" w:rsidRDefault="003D75CD" w:rsidP="00587C3B">
      <w:pPr>
        <w:spacing w:line="240" w:lineRule="auto"/>
        <w:jc w:val="both"/>
        <w:rPr>
          <w:rFonts w:ascii="Book Antiqua" w:hAnsi="Book Antiqua"/>
        </w:rPr>
      </w:pPr>
      <w:r w:rsidRPr="003D75CD">
        <w:rPr>
          <w:rFonts w:ascii="Book Antiqua" w:hAnsi="Book Antiqua"/>
        </w:rPr>
        <w:t xml:space="preserve">The </w:t>
      </w:r>
      <w:r w:rsidR="00A2568D">
        <w:rPr>
          <w:rFonts w:ascii="Book Antiqua" w:hAnsi="Book Antiqua"/>
        </w:rPr>
        <w:t xml:space="preserve">30-year </w:t>
      </w:r>
      <w:r>
        <w:rPr>
          <w:rFonts w:ascii="Book Antiqua" w:hAnsi="Book Antiqua"/>
        </w:rPr>
        <w:t>restructured trade</w:t>
      </w:r>
      <w:r w:rsidRPr="003D75CD">
        <w:rPr>
          <w:rFonts w:ascii="Book Antiqua" w:hAnsi="Book Antiqua"/>
        </w:rPr>
        <w:t xml:space="preserve"> product sold in December 2008 was a </w:t>
      </w:r>
      <w:r w:rsidR="00691D8E">
        <w:rPr>
          <w:rFonts w:ascii="Book Antiqua" w:hAnsi="Book Antiqua"/>
        </w:rPr>
        <w:t>‘</w:t>
      </w:r>
      <w:r w:rsidRPr="00691D8E">
        <w:rPr>
          <w:rFonts w:ascii="Book Antiqua" w:hAnsi="Book Antiqua"/>
          <w:i/>
        </w:rPr>
        <w:t>heads I win, tails you lose</w:t>
      </w:r>
      <w:r w:rsidR="00691D8E">
        <w:rPr>
          <w:rFonts w:ascii="Book Antiqua" w:hAnsi="Book Antiqua"/>
          <w:i/>
        </w:rPr>
        <w:t>’</w:t>
      </w:r>
      <w:r w:rsidRPr="003D75CD">
        <w:rPr>
          <w:rFonts w:ascii="Book Antiqua" w:hAnsi="Book Antiqua"/>
        </w:rPr>
        <w:t xml:space="preserve"> </w:t>
      </w:r>
      <w:r w:rsidR="00691D8E">
        <w:rPr>
          <w:rFonts w:ascii="Book Antiqua" w:hAnsi="Book Antiqua"/>
        </w:rPr>
        <w:t>derivatives pr</w:t>
      </w:r>
      <w:r w:rsidRPr="003D75CD">
        <w:rPr>
          <w:rFonts w:ascii="Book Antiqua" w:hAnsi="Book Antiqua"/>
        </w:rPr>
        <w:t xml:space="preserve">oduct </w:t>
      </w:r>
      <w:r>
        <w:rPr>
          <w:rFonts w:ascii="Book Antiqua" w:hAnsi="Book Antiqua"/>
        </w:rPr>
        <w:t xml:space="preserve">known as a </w:t>
      </w:r>
      <w:r w:rsidR="00EF2285">
        <w:rPr>
          <w:rFonts w:ascii="Book Antiqua" w:hAnsi="Book Antiqua"/>
        </w:rPr>
        <w:t xml:space="preserve">callable (i.e. </w:t>
      </w:r>
      <w:r>
        <w:rPr>
          <w:rFonts w:ascii="Book Antiqua" w:hAnsi="Book Antiqua"/>
        </w:rPr>
        <w:t>cancellable</w:t>
      </w:r>
      <w:r w:rsidR="00EF2285">
        <w:rPr>
          <w:rFonts w:ascii="Book Antiqua" w:hAnsi="Book Antiqua"/>
        </w:rPr>
        <w:t>)</w:t>
      </w:r>
      <w:r>
        <w:rPr>
          <w:rFonts w:ascii="Book Antiqua" w:hAnsi="Book Antiqua"/>
        </w:rPr>
        <w:t xml:space="preserve"> swap. This meant that Lloyds retained an option to</w:t>
      </w:r>
      <w:r w:rsidRPr="003D75CD">
        <w:rPr>
          <w:rFonts w:ascii="Book Antiqua" w:hAnsi="Book Antiqua"/>
        </w:rPr>
        <w:t xml:space="preserve"> cancel</w:t>
      </w:r>
      <w:r w:rsidR="008D332E">
        <w:rPr>
          <w:rFonts w:ascii="Book Antiqua" w:hAnsi="Book Antiqua"/>
        </w:rPr>
        <w:t xml:space="preserve"> and make potentially huge profit from the derivative</w:t>
      </w:r>
      <w:r w:rsidRPr="003D75CD">
        <w:rPr>
          <w:rFonts w:ascii="Book Antiqua" w:hAnsi="Book Antiqua"/>
        </w:rPr>
        <w:t xml:space="preserve"> if interest rates rose (which would be the very time that interest rate protection was needed).</w:t>
      </w:r>
      <w:r w:rsidR="004A06AC">
        <w:rPr>
          <w:rFonts w:ascii="Book Antiqua" w:hAnsi="Book Antiqua"/>
        </w:rPr>
        <w:t xml:space="preserve"> The bank could make such a profit by pocketing the break cost via the call option.</w:t>
      </w:r>
      <w:r w:rsidRPr="003D75CD">
        <w:rPr>
          <w:rFonts w:ascii="Book Antiqua" w:hAnsi="Book Antiqua"/>
        </w:rPr>
        <w:t xml:space="preserve"> However, if interest rates </w:t>
      </w:r>
      <w:r w:rsidR="004A06AC">
        <w:rPr>
          <w:rFonts w:ascii="Book Antiqua" w:hAnsi="Book Antiqua"/>
        </w:rPr>
        <w:t>remain</w:t>
      </w:r>
      <w:r w:rsidRPr="003D75CD">
        <w:rPr>
          <w:rFonts w:ascii="Book Antiqua" w:hAnsi="Book Antiqua"/>
        </w:rPr>
        <w:t xml:space="preserve">ed low and </w:t>
      </w:r>
      <w:r w:rsidR="008D332E">
        <w:rPr>
          <w:rFonts w:ascii="Book Antiqua" w:hAnsi="Book Antiqua"/>
        </w:rPr>
        <w:t>the customer</w:t>
      </w:r>
      <w:r w:rsidRPr="003D75CD">
        <w:rPr>
          <w:rFonts w:ascii="Book Antiqua" w:hAnsi="Book Antiqua"/>
        </w:rPr>
        <w:t xml:space="preserve"> wanted to canc</w:t>
      </w:r>
      <w:r w:rsidR="00691D8E">
        <w:rPr>
          <w:rFonts w:ascii="Book Antiqua" w:hAnsi="Book Antiqua"/>
        </w:rPr>
        <w:t>el,</w:t>
      </w:r>
      <w:r w:rsidRPr="003D75CD">
        <w:rPr>
          <w:rFonts w:ascii="Book Antiqua" w:hAnsi="Book Antiqua"/>
        </w:rPr>
        <w:t xml:space="preserve"> </w:t>
      </w:r>
      <w:r w:rsidR="004A06AC">
        <w:rPr>
          <w:rFonts w:ascii="Book Antiqua" w:hAnsi="Book Antiqua"/>
        </w:rPr>
        <w:t>the break cost</w:t>
      </w:r>
      <w:r w:rsidR="003E4E92">
        <w:rPr>
          <w:rFonts w:ascii="Book Antiqua" w:hAnsi="Book Antiqua"/>
        </w:rPr>
        <w:t xml:space="preserve"> would be </w:t>
      </w:r>
      <w:r w:rsidR="006066DD">
        <w:rPr>
          <w:rFonts w:ascii="Book Antiqua" w:hAnsi="Book Antiqua"/>
        </w:rPr>
        <w:t>prohibitively</w:t>
      </w:r>
      <w:r w:rsidRPr="003D75CD">
        <w:rPr>
          <w:rFonts w:ascii="Book Antiqua" w:hAnsi="Book Antiqua"/>
        </w:rPr>
        <w:t xml:space="preserve"> expensive</w:t>
      </w:r>
      <w:r w:rsidR="004A06AC">
        <w:rPr>
          <w:rFonts w:ascii="Book Antiqua" w:hAnsi="Book Antiqua"/>
        </w:rPr>
        <w:t xml:space="preserve"> for the customer</w:t>
      </w:r>
      <w:r w:rsidR="006066DD">
        <w:rPr>
          <w:rFonts w:ascii="Book Antiqua" w:hAnsi="Book Antiqua"/>
        </w:rPr>
        <w:t xml:space="preserve">. </w:t>
      </w:r>
      <w:r w:rsidR="00A2568D">
        <w:rPr>
          <w:rFonts w:ascii="Book Antiqua" w:hAnsi="Book Antiqua"/>
        </w:rPr>
        <w:t xml:space="preserve">The customer only had a 4-year loan from Lloyds and yet the bank sold a 30-year derivative product, which mis-match left the customer massively over-hedged. </w:t>
      </w:r>
      <w:r w:rsidR="00691D8E">
        <w:rPr>
          <w:rFonts w:ascii="Book Antiqua" w:hAnsi="Book Antiqua"/>
        </w:rPr>
        <w:t xml:space="preserve">In the circumstances, the </w:t>
      </w:r>
      <w:r w:rsidR="00C277A8">
        <w:rPr>
          <w:rFonts w:ascii="Book Antiqua" w:hAnsi="Book Antiqua"/>
        </w:rPr>
        <w:t xml:space="preserve">derivative </w:t>
      </w:r>
      <w:r w:rsidR="004A06AC">
        <w:rPr>
          <w:rFonts w:ascii="Book Antiqua" w:hAnsi="Book Antiqua"/>
        </w:rPr>
        <w:t>amounted to</w:t>
      </w:r>
      <w:r w:rsidR="00691D8E">
        <w:rPr>
          <w:rFonts w:ascii="Book Antiqua" w:hAnsi="Book Antiqua"/>
        </w:rPr>
        <w:t xml:space="preserve"> a one-sided gamble by the bank with the customer’s assets</w:t>
      </w:r>
      <w:r w:rsidR="004D05C9">
        <w:rPr>
          <w:rFonts w:ascii="Book Antiqua" w:hAnsi="Book Antiqua"/>
        </w:rPr>
        <w:t xml:space="preserve">. </w:t>
      </w:r>
    </w:p>
    <w:p w:rsidR="006A7E0E" w:rsidRDefault="00827976" w:rsidP="00587C3B">
      <w:pPr>
        <w:spacing w:line="240" w:lineRule="auto"/>
        <w:jc w:val="both"/>
        <w:rPr>
          <w:rFonts w:ascii="Book Antiqua" w:hAnsi="Book Antiqua"/>
        </w:rPr>
      </w:pPr>
      <w:r>
        <w:rPr>
          <w:rFonts w:ascii="Book Antiqua" w:hAnsi="Book Antiqua"/>
        </w:rPr>
        <w:t>Under th</w:t>
      </w:r>
      <w:r w:rsidR="00477204">
        <w:rPr>
          <w:rFonts w:ascii="Book Antiqua" w:hAnsi="Book Antiqua"/>
        </w:rPr>
        <w:t>is</w:t>
      </w:r>
      <w:r>
        <w:rPr>
          <w:rFonts w:ascii="Book Antiqua" w:hAnsi="Book Antiqua"/>
        </w:rPr>
        <w:t xml:space="preserve"> settlement, Lloyds has agreed </w:t>
      </w:r>
      <w:r w:rsidR="00587C3B">
        <w:rPr>
          <w:rFonts w:ascii="Book Antiqua" w:hAnsi="Book Antiqua"/>
        </w:rPr>
        <w:t>(</w:t>
      </w:r>
      <w:proofErr w:type="spellStart"/>
      <w:r w:rsidR="00587C3B">
        <w:rPr>
          <w:rFonts w:ascii="Book Antiqua" w:hAnsi="Book Antiqua"/>
        </w:rPr>
        <w:t>i</w:t>
      </w:r>
      <w:proofErr w:type="spellEnd"/>
      <w:r w:rsidR="00587C3B">
        <w:rPr>
          <w:rFonts w:ascii="Book Antiqua" w:hAnsi="Book Antiqua"/>
        </w:rPr>
        <w:t xml:space="preserve">) to </w:t>
      </w:r>
      <w:r w:rsidR="004A06AC">
        <w:rPr>
          <w:rFonts w:ascii="Book Antiqua" w:hAnsi="Book Antiqua"/>
        </w:rPr>
        <w:t xml:space="preserve">pay </w:t>
      </w:r>
      <w:r w:rsidR="004A06AC" w:rsidRPr="004A06AC">
        <w:rPr>
          <w:rFonts w:ascii="Book Antiqua" w:hAnsi="Book Antiqua"/>
        </w:rPr>
        <w:t>£890,523.98</w:t>
      </w:r>
      <w:r w:rsidR="004A06AC">
        <w:rPr>
          <w:rFonts w:ascii="Book Antiqua" w:hAnsi="Book Antiqua"/>
        </w:rPr>
        <w:t xml:space="preserve"> GBP in respect of</w:t>
      </w:r>
      <w:r>
        <w:rPr>
          <w:rFonts w:ascii="Book Antiqua" w:hAnsi="Book Antiqua"/>
        </w:rPr>
        <w:t xml:space="preserve"> all </w:t>
      </w:r>
      <w:r w:rsidR="00587C3B">
        <w:rPr>
          <w:rFonts w:ascii="Book Antiqua" w:hAnsi="Book Antiqua"/>
        </w:rPr>
        <w:t>derivatives</w:t>
      </w:r>
      <w:r>
        <w:rPr>
          <w:rFonts w:ascii="Book Antiqua" w:hAnsi="Book Antiqua"/>
        </w:rPr>
        <w:t xml:space="preserve"> payments previously </w:t>
      </w:r>
      <w:r w:rsidR="00587C3B">
        <w:rPr>
          <w:rFonts w:ascii="Book Antiqua" w:hAnsi="Book Antiqua"/>
        </w:rPr>
        <w:t>paid</w:t>
      </w:r>
      <w:r>
        <w:rPr>
          <w:rFonts w:ascii="Book Antiqua" w:hAnsi="Book Antiqua"/>
        </w:rPr>
        <w:t xml:space="preserve"> by the </w:t>
      </w:r>
      <w:r w:rsidR="004A06AC">
        <w:rPr>
          <w:rFonts w:ascii="Book Antiqua" w:hAnsi="Book Antiqua"/>
        </w:rPr>
        <w:t>customer</w:t>
      </w:r>
      <w:r>
        <w:rPr>
          <w:rFonts w:ascii="Book Antiqua" w:hAnsi="Book Antiqua"/>
        </w:rPr>
        <w:t xml:space="preserve">, </w:t>
      </w:r>
      <w:r w:rsidR="00587C3B">
        <w:rPr>
          <w:rFonts w:ascii="Book Antiqua" w:hAnsi="Book Antiqua"/>
        </w:rPr>
        <w:t xml:space="preserve">(ii) to </w:t>
      </w:r>
      <w:r>
        <w:rPr>
          <w:rFonts w:ascii="Book Antiqua" w:hAnsi="Book Antiqua"/>
        </w:rPr>
        <w:t xml:space="preserve">bear the </w:t>
      </w:r>
      <w:r w:rsidR="00505AE3">
        <w:rPr>
          <w:rFonts w:ascii="Book Antiqua" w:hAnsi="Book Antiqua"/>
        </w:rPr>
        <w:t>break</w:t>
      </w:r>
      <w:r>
        <w:rPr>
          <w:rFonts w:ascii="Book Antiqua" w:hAnsi="Book Antiqua"/>
        </w:rPr>
        <w:t xml:space="preserve"> cost of the one </w:t>
      </w:r>
      <w:r w:rsidR="00505AE3">
        <w:rPr>
          <w:rFonts w:ascii="Book Antiqua" w:hAnsi="Book Antiqua"/>
        </w:rPr>
        <w:t>extant</w:t>
      </w:r>
      <w:r>
        <w:rPr>
          <w:rFonts w:ascii="Book Antiqua" w:hAnsi="Book Antiqua"/>
        </w:rPr>
        <w:t xml:space="preserve"> hedging product</w:t>
      </w:r>
      <w:r w:rsidR="00505AE3">
        <w:rPr>
          <w:rFonts w:ascii="Book Antiqua" w:hAnsi="Book Antiqua"/>
        </w:rPr>
        <w:t xml:space="preserve"> </w:t>
      </w:r>
      <w:r w:rsidR="003C268E">
        <w:rPr>
          <w:rFonts w:ascii="Book Antiqua" w:hAnsi="Book Antiqua"/>
        </w:rPr>
        <w:t xml:space="preserve">estimated </w:t>
      </w:r>
      <w:r w:rsidR="00505AE3">
        <w:rPr>
          <w:rFonts w:ascii="Book Antiqua" w:hAnsi="Book Antiqua"/>
        </w:rPr>
        <w:t>in the sum of around £3.5 million</w:t>
      </w:r>
      <w:r w:rsidR="004A06AC">
        <w:rPr>
          <w:rFonts w:ascii="Book Antiqua" w:hAnsi="Book Antiqua"/>
        </w:rPr>
        <w:t xml:space="preserve"> GBP</w:t>
      </w:r>
      <w:r>
        <w:rPr>
          <w:rFonts w:ascii="Book Antiqua" w:hAnsi="Book Antiqua"/>
        </w:rPr>
        <w:t xml:space="preserve">, and </w:t>
      </w:r>
      <w:r w:rsidR="00587C3B">
        <w:rPr>
          <w:rFonts w:ascii="Book Antiqua" w:hAnsi="Book Antiqua"/>
        </w:rPr>
        <w:t>(ii</w:t>
      </w:r>
      <w:r w:rsidR="0028384B">
        <w:rPr>
          <w:rFonts w:ascii="Book Antiqua" w:hAnsi="Book Antiqua"/>
        </w:rPr>
        <w:t>i</w:t>
      </w:r>
      <w:r w:rsidR="00587C3B">
        <w:rPr>
          <w:rFonts w:ascii="Book Antiqua" w:hAnsi="Book Antiqua"/>
        </w:rPr>
        <w:t>)</w:t>
      </w:r>
      <w:r>
        <w:rPr>
          <w:rFonts w:ascii="Book Antiqua" w:hAnsi="Book Antiqua"/>
        </w:rPr>
        <w:t xml:space="preserve"> </w:t>
      </w:r>
      <w:r w:rsidR="00587C3B">
        <w:rPr>
          <w:rFonts w:ascii="Book Antiqua" w:hAnsi="Book Antiqua"/>
        </w:rPr>
        <w:t>to</w:t>
      </w:r>
      <w:r w:rsidR="003E4E92">
        <w:rPr>
          <w:rFonts w:ascii="Book Antiqua" w:hAnsi="Book Antiqua"/>
        </w:rPr>
        <w:t xml:space="preserve"> pay</w:t>
      </w:r>
      <w:r w:rsidR="0028384B">
        <w:rPr>
          <w:rFonts w:ascii="Book Antiqua" w:hAnsi="Book Antiqua"/>
        </w:rPr>
        <w:t xml:space="preserve"> </w:t>
      </w:r>
      <w:r w:rsidR="004A06AC">
        <w:rPr>
          <w:rFonts w:ascii="Book Antiqua" w:hAnsi="Book Antiqua"/>
        </w:rPr>
        <w:t xml:space="preserve">£200,000 GBP </w:t>
      </w:r>
      <w:r w:rsidR="00FF0C95">
        <w:rPr>
          <w:rFonts w:ascii="Book Antiqua" w:hAnsi="Book Antiqua"/>
        </w:rPr>
        <w:t xml:space="preserve">towards </w:t>
      </w:r>
      <w:r>
        <w:rPr>
          <w:rFonts w:ascii="Book Antiqua" w:hAnsi="Book Antiqua"/>
        </w:rPr>
        <w:t xml:space="preserve">the </w:t>
      </w:r>
      <w:r w:rsidR="00587C3B">
        <w:rPr>
          <w:rFonts w:ascii="Book Antiqua" w:hAnsi="Book Antiqua"/>
        </w:rPr>
        <w:t>care home</w:t>
      </w:r>
      <w:r>
        <w:rPr>
          <w:rFonts w:ascii="Book Antiqua" w:hAnsi="Book Antiqua"/>
        </w:rPr>
        <w:t xml:space="preserve">’s legal costs. The </w:t>
      </w:r>
      <w:r w:rsidR="00B44268">
        <w:rPr>
          <w:rFonts w:ascii="Book Antiqua" w:hAnsi="Book Antiqua"/>
        </w:rPr>
        <w:t xml:space="preserve">litigation </w:t>
      </w:r>
      <w:r>
        <w:rPr>
          <w:rFonts w:ascii="Book Antiqua" w:hAnsi="Book Antiqua"/>
        </w:rPr>
        <w:t xml:space="preserve">settlement </w:t>
      </w:r>
      <w:r w:rsidR="00587C3B">
        <w:rPr>
          <w:rFonts w:ascii="Book Antiqua" w:hAnsi="Book Antiqua"/>
        </w:rPr>
        <w:t>has cost Lloyds Bank Plc</w:t>
      </w:r>
      <w:r>
        <w:rPr>
          <w:rFonts w:ascii="Book Antiqua" w:hAnsi="Book Antiqua"/>
        </w:rPr>
        <w:t xml:space="preserve"> </w:t>
      </w:r>
      <w:r w:rsidR="00587C3B">
        <w:rPr>
          <w:rFonts w:ascii="Book Antiqua" w:hAnsi="Book Antiqua"/>
        </w:rPr>
        <w:t xml:space="preserve">in </w:t>
      </w:r>
      <w:r w:rsidR="00073334">
        <w:rPr>
          <w:rFonts w:ascii="Book Antiqua" w:hAnsi="Book Antiqua"/>
        </w:rPr>
        <w:t xml:space="preserve">the region </w:t>
      </w:r>
      <w:r w:rsidR="00587C3B">
        <w:rPr>
          <w:rFonts w:ascii="Book Antiqua" w:hAnsi="Book Antiqua"/>
        </w:rPr>
        <w:t>of</w:t>
      </w:r>
      <w:r w:rsidR="00146515">
        <w:rPr>
          <w:rFonts w:ascii="Book Antiqua" w:hAnsi="Book Antiqua"/>
        </w:rPr>
        <w:t xml:space="preserve"> £4.6</w:t>
      </w:r>
      <w:r>
        <w:rPr>
          <w:rFonts w:ascii="Book Antiqua" w:hAnsi="Book Antiqua"/>
        </w:rPr>
        <w:t xml:space="preserve"> million</w:t>
      </w:r>
      <w:r w:rsidR="004A06AC">
        <w:rPr>
          <w:rFonts w:ascii="Book Antiqua" w:hAnsi="Book Antiqua"/>
        </w:rPr>
        <w:t xml:space="preserve"> GBP</w:t>
      </w:r>
      <w:r w:rsidR="00FF0C95">
        <w:rPr>
          <w:rFonts w:ascii="Book Antiqua" w:hAnsi="Book Antiqua"/>
        </w:rPr>
        <w:t>,</w:t>
      </w:r>
      <w:r w:rsidR="00073334">
        <w:rPr>
          <w:rFonts w:ascii="Book Antiqua" w:hAnsi="Book Antiqua"/>
        </w:rPr>
        <w:t xml:space="preserve"> which amounts to almost the entire claim value</w:t>
      </w:r>
      <w:r w:rsidR="003C268E">
        <w:rPr>
          <w:rFonts w:ascii="Book Antiqua" w:hAnsi="Book Antiqua"/>
        </w:rPr>
        <w:t xml:space="preserve">, although the </w:t>
      </w:r>
      <w:r w:rsidR="00073334">
        <w:rPr>
          <w:rFonts w:ascii="Book Antiqua" w:hAnsi="Book Antiqua"/>
        </w:rPr>
        <w:t xml:space="preserve">bank </w:t>
      </w:r>
      <w:r w:rsidR="003C268E">
        <w:rPr>
          <w:rFonts w:ascii="Book Antiqua" w:hAnsi="Book Antiqua"/>
        </w:rPr>
        <w:t xml:space="preserve">continues </w:t>
      </w:r>
      <w:r w:rsidR="00203768">
        <w:rPr>
          <w:rFonts w:ascii="Book Antiqua" w:hAnsi="Book Antiqua"/>
        </w:rPr>
        <w:t>to deny</w:t>
      </w:r>
      <w:r w:rsidR="003C268E">
        <w:rPr>
          <w:rFonts w:ascii="Book Antiqua" w:hAnsi="Book Antiqua"/>
        </w:rPr>
        <w:t xml:space="preserve"> </w:t>
      </w:r>
      <w:r w:rsidR="00073334">
        <w:rPr>
          <w:rFonts w:ascii="Book Antiqua" w:hAnsi="Book Antiqua"/>
        </w:rPr>
        <w:t xml:space="preserve">any </w:t>
      </w:r>
      <w:r w:rsidR="003C268E">
        <w:rPr>
          <w:rFonts w:ascii="Book Antiqua" w:hAnsi="Book Antiqua"/>
        </w:rPr>
        <w:t>liability</w:t>
      </w:r>
      <w:r>
        <w:rPr>
          <w:rFonts w:ascii="Book Antiqua" w:hAnsi="Book Antiqua"/>
        </w:rPr>
        <w:t>.</w:t>
      </w:r>
      <w:r w:rsidR="00505AE3">
        <w:rPr>
          <w:rFonts w:ascii="Book Antiqua" w:hAnsi="Book Antiqua"/>
        </w:rPr>
        <w:t xml:space="preserve"> </w:t>
      </w:r>
    </w:p>
    <w:p w:rsidR="00B44268" w:rsidRDefault="00505AE3" w:rsidP="00587C3B">
      <w:pPr>
        <w:spacing w:line="240" w:lineRule="auto"/>
        <w:jc w:val="both"/>
        <w:rPr>
          <w:rFonts w:ascii="Book Antiqua" w:hAnsi="Book Antiqua"/>
        </w:rPr>
      </w:pPr>
      <w:r>
        <w:rPr>
          <w:rFonts w:ascii="Book Antiqua" w:hAnsi="Book Antiqua"/>
        </w:rPr>
        <w:t xml:space="preserve">Usually such settlements </w:t>
      </w:r>
      <w:r w:rsidR="002D14EA">
        <w:rPr>
          <w:rFonts w:ascii="Book Antiqua" w:hAnsi="Book Antiqua"/>
        </w:rPr>
        <w:t>contain</w:t>
      </w:r>
      <w:r>
        <w:rPr>
          <w:rFonts w:ascii="Book Antiqua" w:hAnsi="Book Antiqua"/>
        </w:rPr>
        <w:t xml:space="preserve"> confidential</w:t>
      </w:r>
      <w:r w:rsidR="002D14EA">
        <w:rPr>
          <w:rFonts w:ascii="Book Antiqua" w:hAnsi="Book Antiqua"/>
        </w:rPr>
        <w:t>ity clauses</w:t>
      </w:r>
      <w:r>
        <w:rPr>
          <w:rFonts w:ascii="Book Antiqua" w:hAnsi="Book Antiqua"/>
        </w:rPr>
        <w:t xml:space="preserve"> and the details </w:t>
      </w:r>
      <w:r w:rsidR="002D14EA">
        <w:rPr>
          <w:rFonts w:ascii="Book Antiqua" w:hAnsi="Book Antiqua"/>
        </w:rPr>
        <w:t>cannot be placed in the public domain</w:t>
      </w:r>
      <w:r w:rsidR="006A7E0E">
        <w:rPr>
          <w:rFonts w:ascii="Book Antiqua" w:hAnsi="Book Antiqua"/>
        </w:rPr>
        <w:t>.</w:t>
      </w:r>
      <w:r>
        <w:rPr>
          <w:rFonts w:ascii="Book Antiqua" w:hAnsi="Book Antiqua"/>
        </w:rPr>
        <w:t xml:space="preserve"> </w:t>
      </w:r>
      <w:r w:rsidR="006A7E0E">
        <w:rPr>
          <w:rFonts w:ascii="Book Antiqua" w:hAnsi="Book Antiqua"/>
        </w:rPr>
        <w:t>On this occasion however</w:t>
      </w:r>
      <w:r w:rsidR="00FF0C95">
        <w:rPr>
          <w:rFonts w:ascii="Book Antiqua" w:hAnsi="Book Antiqua"/>
        </w:rPr>
        <w:t>,</w:t>
      </w:r>
      <w:r w:rsidR="006A7E0E">
        <w:rPr>
          <w:rFonts w:ascii="Book Antiqua" w:hAnsi="Book Antiqua"/>
        </w:rPr>
        <w:t xml:space="preserve"> the </w:t>
      </w:r>
      <w:r w:rsidR="00146515">
        <w:rPr>
          <w:rFonts w:ascii="Book Antiqua" w:hAnsi="Book Antiqua"/>
        </w:rPr>
        <w:t>customer</w:t>
      </w:r>
      <w:r w:rsidR="006A7E0E">
        <w:rPr>
          <w:rFonts w:ascii="Book Antiqua" w:hAnsi="Book Antiqua"/>
        </w:rPr>
        <w:t xml:space="preserve"> refused </w:t>
      </w:r>
      <w:r w:rsidR="00FF0C95">
        <w:rPr>
          <w:rFonts w:ascii="Book Antiqua" w:hAnsi="Book Antiqua"/>
        </w:rPr>
        <w:t xml:space="preserve">Lloyds’ </w:t>
      </w:r>
      <w:r w:rsidR="006A7E0E">
        <w:rPr>
          <w:rFonts w:ascii="Book Antiqua" w:hAnsi="Book Antiqua"/>
        </w:rPr>
        <w:t>demands of confidentiality</w:t>
      </w:r>
      <w:r w:rsidR="00D12584">
        <w:rPr>
          <w:rFonts w:ascii="Book Antiqua" w:hAnsi="Book Antiqua"/>
        </w:rPr>
        <w:t xml:space="preserve"> for two central reasons. Firstly,</w:t>
      </w:r>
      <w:r w:rsidR="006A7E0E">
        <w:rPr>
          <w:rFonts w:ascii="Book Antiqua" w:hAnsi="Book Antiqua"/>
        </w:rPr>
        <w:t xml:space="preserve"> in order to demonstrate to the wider public the flaws and inadequacies of the Financial Conduct Authority (FCA)</w:t>
      </w:r>
      <w:r w:rsidR="00833957">
        <w:rPr>
          <w:rFonts w:ascii="Book Antiqua" w:hAnsi="Book Antiqua"/>
        </w:rPr>
        <w:t xml:space="preserve"> backed</w:t>
      </w:r>
      <w:r w:rsidR="006A7E0E">
        <w:rPr>
          <w:rFonts w:ascii="Book Antiqua" w:hAnsi="Book Antiqua"/>
        </w:rPr>
        <w:t xml:space="preserve"> IRHP Review Scheme</w:t>
      </w:r>
      <w:r w:rsidR="006A7E0E">
        <w:rPr>
          <w:rStyle w:val="FootnoteReference"/>
          <w:rFonts w:ascii="Book Antiqua" w:hAnsi="Book Antiqua"/>
        </w:rPr>
        <w:footnoteReference w:id="4"/>
      </w:r>
      <w:r w:rsidR="00B44268">
        <w:rPr>
          <w:rFonts w:ascii="Book Antiqua" w:hAnsi="Book Antiqua"/>
        </w:rPr>
        <w:t>, in</w:t>
      </w:r>
      <w:r w:rsidR="006A7E0E">
        <w:rPr>
          <w:rFonts w:ascii="Book Antiqua" w:hAnsi="Book Antiqua"/>
        </w:rPr>
        <w:t xml:space="preserve"> which the </w:t>
      </w:r>
      <w:r w:rsidR="00D12584">
        <w:rPr>
          <w:rFonts w:ascii="Book Antiqua" w:hAnsi="Book Antiqua"/>
        </w:rPr>
        <w:t xml:space="preserve">major </w:t>
      </w:r>
      <w:r w:rsidR="006A7E0E">
        <w:rPr>
          <w:rFonts w:ascii="Book Antiqua" w:hAnsi="Book Antiqua"/>
        </w:rPr>
        <w:t>banks</w:t>
      </w:r>
      <w:r w:rsidR="00D12584">
        <w:rPr>
          <w:rFonts w:ascii="Book Antiqua" w:hAnsi="Book Antiqua"/>
        </w:rPr>
        <w:t xml:space="preserve"> have been allowed to</w:t>
      </w:r>
      <w:r w:rsidR="006A7E0E">
        <w:rPr>
          <w:rFonts w:ascii="Book Antiqua" w:hAnsi="Book Antiqua"/>
        </w:rPr>
        <w:t xml:space="preserve"> review their own </w:t>
      </w:r>
      <w:r w:rsidR="00B44268">
        <w:rPr>
          <w:rFonts w:ascii="Book Antiqua" w:hAnsi="Book Antiqua"/>
        </w:rPr>
        <w:t xml:space="preserve">past </w:t>
      </w:r>
      <w:r w:rsidR="00D12584">
        <w:rPr>
          <w:rFonts w:ascii="Book Antiqua" w:hAnsi="Book Antiqua"/>
        </w:rPr>
        <w:t xml:space="preserve">sales of derivatives (in spite of the FSA, as it then was, </w:t>
      </w:r>
      <w:r w:rsidR="00125538">
        <w:rPr>
          <w:rFonts w:ascii="Book Antiqua" w:hAnsi="Book Antiqua"/>
        </w:rPr>
        <w:t>publishing</w:t>
      </w:r>
      <w:r w:rsidR="002217A0">
        <w:rPr>
          <w:rStyle w:val="FootnoteReference"/>
          <w:rFonts w:ascii="Book Antiqua" w:hAnsi="Book Antiqua"/>
        </w:rPr>
        <w:footnoteReference w:id="5"/>
      </w:r>
      <w:r w:rsidR="00D12584">
        <w:rPr>
          <w:rFonts w:ascii="Book Antiqua" w:hAnsi="Book Antiqua"/>
        </w:rPr>
        <w:t xml:space="preserve"> a finding of mis-selling in 93% of </w:t>
      </w:r>
      <w:r w:rsidR="00C94227">
        <w:rPr>
          <w:rFonts w:ascii="Book Antiqua" w:hAnsi="Book Antiqua"/>
        </w:rPr>
        <w:t>IRHP sales</w:t>
      </w:r>
      <w:r w:rsidR="00D12584">
        <w:rPr>
          <w:rFonts w:ascii="Book Antiqua" w:hAnsi="Book Antiqua"/>
        </w:rPr>
        <w:t xml:space="preserve"> examined</w:t>
      </w:r>
      <w:r w:rsidR="000C197A">
        <w:rPr>
          <w:rFonts w:ascii="Book Antiqua" w:hAnsi="Book Antiqua"/>
        </w:rPr>
        <w:t xml:space="preserve"> in a pilot review scheme</w:t>
      </w:r>
      <w:r w:rsidR="00D12584">
        <w:rPr>
          <w:rFonts w:ascii="Book Antiqua" w:hAnsi="Book Antiqua"/>
        </w:rPr>
        <w:t>)</w:t>
      </w:r>
      <w:r w:rsidR="00125538">
        <w:rPr>
          <w:rFonts w:ascii="Book Antiqua" w:hAnsi="Book Antiqua"/>
        </w:rPr>
        <w:t xml:space="preserve">. </w:t>
      </w:r>
      <w:r w:rsidR="00146515">
        <w:rPr>
          <w:rFonts w:ascii="Book Antiqua" w:hAnsi="Book Antiqua"/>
        </w:rPr>
        <w:t xml:space="preserve">Coin Group </w:t>
      </w:r>
      <w:r w:rsidR="000C197A">
        <w:rPr>
          <w:rFonts w:ascii="Book Antiqua" w:hAnsi="Book Antiqua"/>
        </w:rPr>
        <w:t>took part in that pilot review scheme but was never informed of the outcome and instead was ousted from the review scheme after the major banks somehow</w:t>
      </w:r>
      <w:r w:rsidR="00146515">
        <w:rPr>
          <w:rStyle w:val="FootnoteReference"/>
          <w:rFonts w:ascii="Book Antiqua" w:hAnsi="Book Antiqua"/>
        </w:rPr>
        <w:footnoteReference w:id="6"/>
      </w:r>
      <w:r w:rsidR="000C197A">
        <w:rPr>
          <w:rFonts w:ascii="Book Antiqua" w:hAnsi="Book Antiqua"/>
        </w:rPr>
        <w:t xml:space="preserve"> collectively persuaded the FCA to exclude higher </w:t>
      </w:r>
      <w:r w:rsidR="000C197A">
        <w:rPr>
          <w:rFonts w:ascii="Book Antiqua" w:hAnsi="Book Antiqua"/>
        </w:rPr>
        <w:lastRenderedPageBreak/>
        <w:t>value claims</w:t>
      </w:r>
      <w:r w:rsidR="0086547D">
        <w:rPr>
          <w:rStyle w:val="FootnoteReference"/>
          <w:rFonts w:ascii="Book Antiqua" w:hAnsi="Book Antiqua"/>
        </w:rPr>
        <w:footnoteReference w:id="7"/>
      </w:r>
      <w:r w:rsidR="000C197A">
        <w:rPr>
          <w:rFonts w:ascii="Book Antiqua" w:hAnsi="Book Antiqua"/>
        </w:rPr>
        <w:t xml:space="preserve">. </w:t>
      </w:r>
      <w:r w:rsidR="00125538">
        <w:rPr>
          <w:rFonts w:ascii="Book Antiqua" w:hAnsi="Book Antiqua"/>
        </w:rPr>
        <w:t>Secondly,</w:t>
      </w:r>
      <w:r w:rsidR="006A7E0E">
        <w:rPr>
          <w:rFonts w:ascii="Book Antiqua" w:hAnsi="Book Antiqua"/>
        </w:rPr>
        <w:t xml:space="preserve"> because </w:t>
      </w:r>
      <w:r>
        <w:rPr>
          <w:rFonts w:ascii="Book Antiqua" w:hAnsi="Book Antiqua"/>
        </w:rPr>
        <w:t>Lloyds refused to put things right fully</w:t>
      </w:r>
      <w:r w:rsidR="00B44268">
        <w:rPr>
          <w:rStyle w:val="FootnoteReference"/>
          <w:rFonts w:ascii="Book Antiqua" w:hAnsi="Book Antiqua"/>
        </w:rPr>
        <w:footnoteReference w:id="8"/>
      </w:r>
      <w:r w:rsidR="00B44268">
        <w:rPr>
          <w:rFonts w:ascii="Book Antiqua" w:hAnsi="Book Antiqua"/>
        </w:rPr>
        <w:t xml:space="preserve"> by not </w:t>
      </w:r>
      <w:r w:rsidR="008B363B">
        <w:rPr>
          <w:rFonts w:ascii="Book Antiqua" w:hAnsi="Book Antiqua"/>
        </w:rPr>
        <w:t xml:space="preserve">refunding </w:t>
      </w:r>
      <w:r w:rsidR="00B44268">
        <w:rPr>
          <w:rFonts w:ascii="Book Antiqua" w:hAnsi="Book Antiqua"/>
        </w:rPr>
        <w:t xml:space="preserve">overdraft </w:t>
      </w:r>
      <w:r w:rsidR="00D12584">
        <w:rPr>
          <w:rFonts w:ascii="Book Antiqua" w:hAnsi="Book Antiqua"/>
        </w:rPr>
        <w:t xml:space="preserve">fees and interest </w:t>
      </w:r>
      <w:r w:rsidR="00B44268">
        <w:rPr>
          <w:rFonts w:ascii="Book Antiqua" w:hAnsi="Book Antiqua"/>
        </w:rPr>
        <w:t xml:space="preserve">suffered </w:t>
      </w:r>
      <w:r w:rsidR="00073334">
        <w:rPr>
          <w:rFonts w:ascii="Book Antiqua" w:hAnsi="Book Antiqua"/>
        </w:rPr>
        <w:t>by the care home by reason of</w:t>
      </w:r>
      <w:r w:rsidR="00B44268">
        <w:rPr>
          <w:rFonts w:ascii="Book Antiqua" w:hAnsi="Book Antiqua"/>
        </w:rPr>
        <w:t xml:space="preserve"> the derivative</w:t>
      </w:r>
      <w:r w:rsidR="00125538">
        <w:rPr>
          <w:rFonts w:ascii="Book Antiqua" w:hAnsi="Book Antiqua"/>
        </w:rPr>
        <w:t xml:space="preserve"> mis-selling</w:t>
      </w:r>
      <w:r w:rsidR="00B44268">
        <w:rPr>
          <w:rFonts w:ascii="Book Antiqua" w:hAnsi="Book Antiqua"/>
        </w:rPr>
        <w:t>.</w:t>
      </w:r>
    </w:p>
    <w:p w:rsidR="00627D97" w:rsidRDefault="00587C3B" w:rsidP="00587C3B">
      <w:pPr>
        <w:spacing w:line="240" w:lineRule="auto"/>
        <w:jc w:val="both"/>
        <w:rPr>
          <w:rFonts w:ascii="Book Antiqua" w:hAnsi="Book Antiqua"/>
        </w:rPr>
      </w:pPr>
      <w:r>
        <w:rPr>
          <w:rFonts w:ascii="Book Antiqua" w:hAnsi="Book Antiqua"/>
        </w:rPr>
        <w:t xml:space="preserve">Mr </w:t>
      </w:r>
      <w:r w:rsidR="00ED3123">
        <w:rPr>
          <w:rFonts w:ascii="Book Antiqua" w:hAnsi="Book Antiqua"/>
        </w:rPr>
        <w:t xml:space="preserve">Errol Bland, </w:t>
      </w:r>
      <w:r>
        <w:rPr>
          <w:rFonts w:ascii="Book Antiqua" w:hAnsi="Book Antiqua"/>
        </w:rPr>
        <w:t>D</w:t>
      </w:r>
      <w:r w:rsidR="00ED3123">
        <w:rPr>
          <w:rFonts w:ascii="Book Antiqua" w:hAnsi="Book Antiqua"/>
        </w:rPr>
        <w:t xml:space="preserve">irector of the Coin Group, stated: </w:t>
      </w:r>
    </w:p>
    <w:p w:rsidR="00542285" w:rsidRDefault="0016135B" w:rsidP="0016135B">
      <w:pPr>
        <w:spacing w:line="240" w:lineRule="auto"/>
        <w:ind w:left="426" w:right="521"/>
        <w:jc w:val="both"/>
        <w:rPr>
          <w:rFonts w:ascii="Book Antiqua" w:hAnsi="Book Antiqua"/>
          <w:i/>
        </w:rPr>
      </w:pPr>
      <w:r w:rsidRPr="00125538">
        <w:rPr>
          <w:rFonts w:ascii="Book Antiqua" w:hAnsi="Book Antiqua"/>
          <w:i/>
        </w:rPr>
        <w:t xml:space="preserve"> </w:t>
      </w:r>
      <w:r w:rsidR="00233016">
        <w:rPr>
          <w:rFonts w:ascii="Book Antiqua" w:hAnsi="Book Antiqua"/>
          <w:i/>
        </w:rPr>
        <w:t xml:space="preserve"> </w:t>
      </w:r>
      <w:r w:rsidR="00236C6C" w:rsidRPr="00125538">
        <w:rPr>
          <w:rFonts w:ascii="Book Antiqua" w:hAnsi="Book Antiqua"/>
          <w:i/>
        </w:rPr>
        <w:t>“</w:t>
      </w:r>
      <w:r w:rsidR="000824F3" w:rsidRPr="00125538">
        <w:rPr>
          <w:rFonts w:ascii="Book Antiqua" w:hAnsi="Book Antiqua"/>
          <w:i/>
        </w:rPr>
        <w:t>The hedging payments forced us to go over our agreed o</w:t>
      </w:r>
      <w:r w:rsidR="00F12840" w:rsidRPr="00125538">
        <w:rPr>
          <w:rFonts w:ascii="Book Antiqua" w:hAnsi="Book Antiqua"/>
          <w:i/>
        </w:rPr>
        <w:t xml:space="preserve">verdraft facility limit, and </w:t>
      </w:r>
      <w:r w:rsidR="000824F3" w:rsidRPr="00125538">
        <w:rPr>
          <w:rFonts w:ascii="Book Antiqua" w:hAnsi="Book Antiqua"/>
          <w:i/>
        </w:rPr>
        <w:t>Lloyds charged us</w:t>
      </w:r>
      <w:r w:rsidR="003E4E92">
        <w:rPr>
          <w:rFonts w:ascii="Book Antiqua" w:hAnsi="Book Antiqua"/>
          <w:i/>
        </w:rPr>
        <w:t xml:space="preserve"> unauthorised</w:t>
      </w:r>
      <w:r w:rsidR="000824F3" w:rsidRPr="00125538">
        <w:rPr>
          <w:rFonts w:ascii="Book Antiqua" w:hAnsi="Book Antiqua"/>
          <w:i/>
        </w:rPr>
        <w:t xml:space="preserve"> overdraft fees and interest of almost £1</w:t>
      </w:r>
      <w:r w:rsidR="00371649">
        <w:rPr>
          <w:rFonts w:ascii="Book Antiqua" w:hAnsi="Book Antiqua"/>
          <w:i/>
        </w:rPr>
        <w:t>30</w:t>
      </w:r>
      <w:r w:rsidR="000824F3" w:rsidRPr="00125538">
        <w:rPr>
          <w:rFonts w:ascii="Book Antiqua" w:hAnsi="Book Antiqua"/>
          <w:i/>
        </w:rPr>
        <w:t>,000 on that unauthorised borrowing</w:t>
      </w:r>
      <w:r w:rsidR="00F12840" w:rsidRPr="00125538">
        <w:rPr>
          <w:rFonts w:ascii="Book Antiqua" w:hAnsi="Book Antiqua"/>
          <w:i/>
        </w:rPr>
        <w:t>. However, Lloyds has refused to return that money, which would not have been charged</w:t>
      </w:r>
      <w:r w:rsidR="007B7424">
        <w:rPr>
          <w:rFonts w:ascii="Book Antiqua" w:hAnsi="Book Antiqua"/>
          <w:i/>
        </w:rPr>
        <w:t xml:space="preserve"> had it not been for the </w:t>
      </w:r>
      <w:r w:rsidR="008B363B">
        <w:rPr>
          <w:rFonts w:ascii="Book Antiqua" w:hAnsi="Book Antiqua"/>
          <w:i/>
        </w:rPr>
        <w:t>callable</w:t>
      </w:r>
      <w:r w:rsidR="007B7424">
        <w:rPr>
          <w:rFonts w:ascii="Book Antiqua" w:hAnsi="Book Antiqua"/>
          <w:i/>
        </w:rPr>
        <w:t xml:space="preserve"> swap</w:t>
      </w:r>
      <w:r w:rsidR="00F12840" w:rsidRPr="00125538">
        <w:rPr>
          <w:rFonts w:ascii="Book Antiqua" w:hAnsi="Book Antiqua"/>
          <w:i/>
        </w:rPr>
        <w:t xml:space="preserve"> that they </w:t>
      </w:r>
      <w:r w:rsidR="007B7424">
        <w:rPr>
          <w:rFonts w:ascii="Book Antiqua" w:hAnsi="Book Antiqua"/>
          <w:i/>
        </w:rPr>
        <w:t>mis-</w:t>
      </w:r>
      <w:r w:rsidR="00F12840" w:rsidRPr="00125538">
        <w:rPr>
          <w:rFonts w:ascii="Book Antiqua" w:hAnsi="Book Antiqua"/>
          <w:i/>
        </w:rPr>
        <w:t>sold. This is an unfair and immoral decision</w:t>
      </w:r>
      <w:r w:rsidR="007B7424">
        <w:rPr>
          <w:rFonts w:ascii="Book Antiqua" w:hAnsi="Book Antiqua"/>
          <w:i/>
        </w:rPr>
        <w:t xml:space="preserve"> by Lloyds</w:t>
      </w:r>
      <w:r w:rsidR="00F12840" w:rsidRPr="00125538">
        <w:rPr>
          <w:rFonts w:ascii="Book Antiqua" w:hAnsi="Book Antiqua"/>
          <w:i/>
        </w:rPr>
        <w:t xml:space="preserve">, which exemplifies the way that we </w:t>
      </w:r>
      <w:r w:rsidR="00371649">
        <w:rPr>
          <w:rFonts w:ascii="Book Antiqua" w:hAnsi="Book Antiqua"/>
          <w:i/>
        </w:rPr>
        <w:t xml:space="preserve">were </w:t>
      </w:r>
      <w:r w:rsidR="00F12840" w:rsidRPr="00125538">
        <w:rPr>
          <w:rFonts w:ascii="Book Antiqua" w:hAnsi="Book Antiqua"/>
          <w:i/>
        </w:rPr>
        <w:t xml:space="preserve">treated by </w:t>
      </w:r>
      <w:r w:rsidR="007B7424">
        <w:rPr>
          <w:rFonts w:ascii="Book Antiqua" w:hAnsi="Book Antiqua"/>
          <w:i/>
        </w:rPr>
        <w:t>them</w:t>
      </w:r>
      <w:r w:rsidR="00F12840" w:rsidRPr="00125538">
        <w:rPr>
          <w:rFonts w:ascii="Book Antiqua" w:hAnsi="Book Antiqua"/>
          <w:i/>
        </w:rPr>
        <w:t xml:space="preserve"> </w:t>
      </w:r>
      <w:r w:rsidR="007B7424">
        <w:rPr>
          <w:rFonts w:ascii="Book Antiqua" w:hAnsi="Book Antiqua"/>
          <w:i/>
        </w:rPr>
        <w:t>throughout</w:t>
      </w:r>
      <w:r w:rsidR="00F12840" w:rsidRPr="00125538">
        <w:rPr>
          <w:rFonts w:ascii="Book Antiqua" w:hAnsi="Book Antiqua"/>
          <w:i/>
        </w:rPr>
        <w:t xml:space="preserve"> this dispute.</w:t>
      </w:r>
      <w:r w:rsidR="00233016">
        <w:rPr>
          <w:rFonts w:ascii="Book Antiqua" w:hAnsi="Book Antiqua"/>
          <w:i/>
        </w:rPr>
        <w:t xml:space="preserve"> No matter what Lloyds says about changing its profit-first culture, </w:t>
      </w:r>
      <w:r w:rsidR="00FF0C95">
        <w:rPr>
          <w:rFonts w:ascii="Book Antiqua" w:hAnsi="Book Antiqua"/>
          <w:i/>
        </w:rPr>
        <w:t xml:space="preserve">it </w:t>
      </w:r>
      <w:r w:rsidR="00233016">
        <w:rPr>
          <w:rFonts w:ascii="Book Antiqua" w:hAnsi="Book Antiqua"/>
          <w:i/>
        </w:rPr>
        <w:t>continues to fail to put things right.</w:t>
      </w:r>
      <w:r w:rsidRPr="00125538">
        <w:rPr>
          <w:rFonts w:ascii="Book Antiqua" w:hAnsi="Book Antiqua"/>
          <w:i/>
        </w:rPr>
        <w:t xml:space="preserve"> </w:t>
      </w:r>
      <w:r w:rsidR="00371649">
        <w:rPr>
          <w:rFonts w:ascii="Book Antiqua" w:hAnsi="Book Antiqua"/>
          <w:i/>
        </w:rPr>
        <w:t xml:space="preserve">Not only have we had to put our </w:t>
      </w:r>
      <w:r w:rsidR="00BD1F24">
        <w:rPr>
          <w:rFonts w:ascii="Book Antiqua" w:hAnsi="Book Antiqua"/>
          <w:i/>
        </w:rPr>
        <w:t>business growth</w:t>
      </w:r>
      <w:r w:rsidR="00371649">
        <w:rPr>
          <w:rFonts w:ascii="Book Antiqua" w:hAnsi="Book Antiqua"/>
          <w:i/>
        </w:rPr>
        <w:t xml:space="preserve"> plans on hold for the past five and a half years, </w:t>
      </w:r>
      <w:r w:rsidR="00FF0C95">
        <w:rPr>
          <w:rFonts w:ascii="Book Antiqua" w:hAnsi="Book Antiqua"/>
          <w:i/>
        </w:rPr>
        <w:t xml:space="preserve">but </w:t>
      </w:r>
      <w:r w:rsidR="00371649">
        <w:rPr>
          <w:rFonts w:ascii="Book Antiqua" w:hAnsi="Book Antiqua"/>
          <w:i/>
        </w:rPr>
        <w:t xml:space="preserve">we have had to </w:t>
      </w:r>
      <w:r w:rsidR="00542285">
        <w:rPr>
          <w:rFonts w:ascii="Book Antiqua" w:hAnsi="Book Antiqua"/>
          <w:i/>
        </w:rPr>
        <w:t>incur legal</w:t>
      </w:r>
      <w:r w:rsidR="00371649">
        <w:rPr>
          <w:rFonts w:ascii="Book Antiqua" w:hAnsi="Book Antiqua"/>
          <w:i/>
        </w:rPr>
        <w:t xml:space="preserve"> </w:t>
      </w:r>
      <w:r w:rsidR="004140BC">
        <w:rPr>
          <w:rFonts w:ascii="Book Antiqua" w:hAnsi="Book Antiqua"/>
          <w:i/>
        </w:rPr>
        <w:t>and professional costs to defend ourselves against something that was mis-sold to us but still ended up costing us over £130,000</w:t>
      </w:r>
      <w:r w:rsidR="00412A44">
        <w:rPr>
          <w:rFonts w:ascii="Book Antiqua" w:hAnsi="Book Antiqua"/>
          <w:i/>
        </w:rPr>
        <w:t xml:space="preserve"> in fees and interest</w:t>
      </w:r>
      <w:r w:rsidR="00BD1F24">
        <w:rPr>
          <w:rFonts w:ascii="Book Antiqua" w:hAnsi="Book Antiqua"/>
          <w:i/>
        </w:rPr>
        <w:t xml:space="preserve">. </w:t>
      </w:r>
      <w:r w:rsidR="00412A44">
        <w:rPr>
          <w:rFonts w:ascii="Book Antiqua" w:hAnsi="Book Antiqua"/>
          <w:i/>
        </w:rPr>
        <w:t>S</w:t>
      </w:r>
      <w:r w:rsidR="00542285">
        <w:rPr>
          <w:rFonts w:ascii="Book Antiqua" w:hAnsi="Book Antiqua"/>
          <w:i/>
        </w:rPr>
        <w:t>ince the start of th</w:t>
      </w:r>
      <w:r w:rsidR="00412A44">
        <w:rPr>
          <w:rFonts w:ascii="Book Antiqua" w:hAnsi="Book Antiqua"/>
          <w:i/>
        </w:rPr>
        <w:t>is</w:t>
      </w:r>
      <w:r w:rsidR="00542285">
        <w:rPr>
          <w:rFonts w:ascii="Book Antiqua" w:hAnsi="Book Antiqua"/>
          <w:i/>
        </w:rPr>
        <w:t xml:space="preserve"> dispute, </w:t>
      </w:r>
      <w:r w:rsidR="00412A44">
        <w:rPr>
          <w:rFonts w:ascii="Book Antiqua" w:hAnsi="Book Antiqua"/>
          <w:i/>
        </w:rPr>
        <w:t>Lloyds has</w:t>
      </w:r>
      <w:r w:rsidR="00542285">
        <w:rPr>
          <w:rFonts w:ascii="Book Antiqua" w:hAnsi="Book Antiqua"/>
          <w:i/>
        </w:rPr>
        <w:t xml:space="preserve"> tried everything that </w:t>
      </w:r>
      <w:r w:rsidR="00412A44">
        <w:rPr>
          <w:rFonts w:ascii="Book Antiqua" w:hAnsi="Book Antiqua"/>
          <w:i/>
        </w:rPr>
        <w:t>it</w:t>
      </w:r>
      <w:r w:rsidR="00542285">
        <w:rPr>
          <w:rFonts w:ascii="Book Antiqua" w:hAnsi="Book Antiqua"/>
          <w:i/>
        </w:rPr>
        <w:t xml:space="preserve"> could to create hardship and financial instability for my business. Lloyds </w:t>
      </w:r>
      <w:r w:rsidR="00BD1F24">
        <w:rPr>
          <w:rFonts w:ascii="Book Antiqua" w:hAnsi="Book Antiqua"/>
          <w:i/>
        </w:rPr>
        <w:t>should be</w:t>
      </w:r>
      <w:r w:rsidR="00542285">
        <w:rPr>
          <w:rFonts w:ascii="Book Antiqua" w:hAnsi="Book Antiqua"/>
          <w:i/>
        </w:rPr>
        <w:t xml:space="preserve"> spending </w:t>
      </w:r>
      <w:r w:rsidR="00BD1F24">
        <w:rPr>
          <w:rFonts w:ascii="Book Antiqua" w:hAnsi="Book Antiqua"/>
          <w:i/>
        </w:rPr>
        <w:t xml:space="preserve">its resources </w:t>
      </w:r>
      <w:r w:rsidR="00542285">
        <w:rPr>
          <w:rFonts w:ascii="Book Antiqua" w:hAnsi="Book Antiqua"/>
          <w:i/>
        </w:rPr>
        <w:t>on truly supporting business</w:t>
      </w:r>
      <w:r w:rsidR="00EF2285">
        <w:rPr>
          <w:rFonts w:ascii="Book Antiqua" w:hAnsi="Book Antiqua"/>
          <w:i/>
        </w:rPr>
        <w:t>es</w:t>
      </w:r>
      <w:r w:rsidR="00412A44">
        <w:rPr>
          <w:rFonts w:ascii="Book Antiqua" w:hAnsi="Book Antiqua"/>
          <w:i/>
        </w:rPr>
        <w:t xml:space="preserve"> and</w:t>
      </w:r>
      <w:r w:rsidR="00542285">
        <w:rPr>
          <w:rFonts w:ascii="Book Antiqua" w:hAnsi="Book Antiqua"/>
          <w:i/>
        </w:rPr>
        <w:t xml:space="preserve"> rectifying the problems that </w:t>
      </w:r>
      <w:r w:rsidR="00412A44">
        <w:rPr>
          <w:rFonts w:ascii="Book Antiqua" w:hAnsi="Book Antiqua"/>
          <w:i/>
        </w:rPr>
        <w:t>it</w:t>
      </w:r>
      <w:r w:rsidR="00542285">
        <w:rPr>
          <w:rFonts w:ascii="Book Antiqua" w:hAnsi="Book Antiqua"/>
          <w:i/>
        </w:rPr>
        <w:t xml:space="preserve"> </w:t>
      </w:r>
      <w:r w:rsidR="00EF2285">
        <w:rPr>
          <w:rFonts w:ascii="Book Antiqua" w:hAnsi="Book Antiqua"/>
          <w:i/>
        </w:rPr>
        <w:t xml:space="preserve">has </w:t>
      </w:r>
      <w:r w:rsidR="00542285">
        <w:rPr>
          <w:rFonts w:ascii="Book Antiqua" w:hAnsi="Book Antiqua"/>
          <w:i/>
        </w:rPr>
        <w:t xml:space="preserve">caused </w:t>
      </w:r>
      <w:r w:rsidR="00412A44">
        <w:rPr>
          <w:rFonts w:ascii="Book Antiqua" w:hAnsi="Book Antiqua"/>
          <w:i/>
        </w:rPr>
        <w:t>its</w:t>
      </w:r>
      <w:r w:rsidR="00542285">
        <w:rPr>
          <w:rFonts w:ascii="Book Antiqua" w:hAnsi="Book Antiqua"/>
          <w:i/>
        </w:rPr>
        <w:t xml:space="preserve"> customers</w:t>
      </w:r>
      <w:r w:rsidR="00412A44">
        <w:rPr>
          <w:rFonts w:ascii="Book Antiqua" w:hAnsi="Book Antiqua"/>
          <w:i/>
        </w:rPr>
        <w:t>,</w:t>
      </w:r>
      <w:r w:rsidR="00542285">
        <w:rPr>
          <w:rFonts w:ascii="Book Antiqua" w:hAnsi="Book Antiqua"/>
          <w:i/>
        </w:rPr>
        <w:t xml:space="preserve"> rather than </w:t>
      </w:r>
      <w:r w:rsidR="00D314C0">
        <w:rPr>
          <w:rFonts w:ascii="Book Antiqua" w:hAnsi="Book Antiqua"/>
          <w:i/>
        </w:rPr>
        <w:t>losing</w:t>
      </w:r>
      <w:r w:rsidR="00542285">
        <w:rPr>
          <w:rFonts w:ascii="Book Antiqua" w:hAnsi="Book Antiqua"/>
          <w:i/>
        </w:rPr>
        <w:t xml:space="preserve"> millions of pounds</w:t>
      </w:r>
      <w:r w:rsidR="00D314C0">
        <w:rPr>
          <w:rFonts w:ascii="Book Antiqua" w:hAnsi="Book Antiqua"/>
          <w:i/>
        </w:rPr>
        <w:t xml:space="preserve"> in break costs whilst</w:t>
      </w:r>
      <w:r w:rsidR="00542285">
        <w:rPr>
          <w:rFonts w:ascii="Book Antiqua" w:hAnsi="Book Antiqua"/>
          <w:i/>
        </w:rPr>
        <w:t xml:space="preserve"> trying to </w:t>
      </w:r>
      <w:r w:rsidR="00BD1F24">
        <w:rPr>
          <w:rFonts w:ascii="Book Antiqua" w:hAnsi="Book Antiqua"/>
          <w:i/>
        </w:rPr>
        <w:t>escape</w:t>
      </w:r>
      <w:r w:rsidR="00EF2285">
        <w:rPr>
          <w:rFonts w:ascii="Book Antiqua" w:hAnsi="Book Antiqua"/>
          <w:i/>
        </w:rPr>
        <w:t xml:space="preserve"> accountability for</w:t>
      </w:r>
      <w:r w:rsidR="00542285">
        <w:rPr>
          <w:rFonts w:ascii="Book Antiqua" w:hAnsi="Book Antiqua"/>
          <w:i/>
        </w:rPr>
        <w:t xml:space="preserve"> </w:t>
      </w:r>
      <w:r w:rsidR="00412A44">
        <w:rPr>
          <w:rFonts w:ascii="Book Antiqua" w:hAnsi="Book Antiqua"/>
          <w:i/>
        </w:rPr>
        <w:t>its mis-selling</w:t>
      </w:r>
      <w:r w:rsidR="00542285">
        <w:rPr>
          <w:rFonts w:ascii="Book Antiqua" w:hAnsi="Book Antiqua"/>
          <w:i/>
        </w:rPr>
        <w:t>.</w:t>
      </w:r>
      <w:r w:rsidR="00EF2285">
        <w:rPr>
          <w:rFonts w:ascii="Book Antiqua" w:hAnsi="Book Antiqua"/>
          <w:i/>
        </w:rPr>
        <w:t>”</w:t>
      </w:r>
      <w:r w:rsidR="00542285">
        <w:rPr>
          <w:rFonts w:ascii="Book Antiqua" w:hAnsi="Book Antiqua"/>
          <w:i/>
        </w:rPr>
        <w:t xml:space="preserve">  </w:t>
      </w:r>
    </w:p>
    <w:p w:rsidR="00233016" w:rsidRPr="00233016" w:rsidRDefault="00D63FF0" w:rsidP="00D63FF0">
      <w:pPr>
        <w:spacing w:line="240" w:lineRule="auto"/>
        <w:ind w:right="-46"/>
        <w:jc w:val="both"/>
        <w:rPr>
          <w:rFonts w:ascii="Book Antiqua" w:hAnsi="Book Antiqua"/>
        </w:rPr>
      </w:pPr>
      <w:r w:rsidRPr="00D63FF0">
        <w:rPr>
          <w:rFonts w:ascii="Book Antiqua" w:hAnsi="Book Antiqua"/>
        </w:rPr>
        <w:t>M</w:t>
      </w:r>
      <w:r w:rsidR="007B7424" w:rsidRPr="00D63FF0">
        <w:rPr>
          <w:rFonts w:ascii="Book Antiqua" w:hAnsi="Book Antiqua"/>
        </w:rPr>
        <w:t>r</w:t>
      </w:r>
      <w:r w:rsidR="00233016">
        <w:rPr>
          <w:rFonts w:ascii="Book Antiqua" w:hAnsi="Book Antiqua"/>
        </w:rPr>
        <w:t xml:space="preserve"> </w:t>
      </w:r>
      <w:hyperlink r:id="rId8" w:history="1">
        <w:r w:rsidR="007B7424">
          <w:rPr>
            <w:rStyle w:val="Hyperlink"/>
            <w:rFonts w:ascii="Book Antiqua" w:hAnsi="Book Antiqua"/>
          </w:rPr>
          <w:t>M. Ali Akram</w:t>
        </w:r>
      </w:hyperlink>
      <w:r w:rsidR="00233016">
        <w:rPr>
          <w:rFonts w:ascii="Book Antiqua" w:hAnsi="Book Antiqua"/>
        </w:rPr>
        <w:t xml:space="preserve">, </w:t>
      </w:r>
      <w:r w:rsidR="008F2139">
        <w:rPr>
          <w:rFonts w:ascii="Book Antiqua" w:hAnsi="Book Antiqua"/>
        </w:rPr>
        <w:t xml:space="preserve">a </w:t>
      </w:r>
      <w:r w:rsidR="00AF3077">
        <w:rPr>
          <w:rFonts w:ascii="Book Antiqua" w:hAnsi="Book Antiqua"/>
        </w:rPr>
        <w:t xml:space="preserve">partner and </w:t>
      </w:r>
      <w:r w:rsidR="008F2139">
        <w:rPr>
          <w:rFonts w:ascii="Book Antiqua" w:hAnsi="Book Antiqua"/>
        </w:rPr>
        <w:t>dual qualified barrister and solicitor practising at</w:t>
      </w:r>
      <w:r w:rsidR="00233016">
        <w:rPr>
          <w:rFonts w:ascii="Book Antiqua" w:hAnsi="Book Antiqua"/>
        </w:rPr>
        <w:t xml:space="preserve"> </w:t>
      </w:r>
      <w:hyperlink r:id="rId9" w:history="1">
        <w:r w:rsidR="00233016" w:rsidRPr="007B7424">
          <w:rPr>
            <w:rStyle w:val="Hyperlink"/>
            <w:rFonts w:ascii="Book Antiqua" w:hAnsi="Book Antiqua"/>
          </w:rPr>
          <w:t>LEXLAW Solicitors &amp; Barristers</w:t>
        </w:r>
      </w:hyperlink>
      <w:r w:rsidR="00987F25">
        <w:rPr>
          <w:rFonts w:ascii="Book Antiqua" w:hAnsi="Book Antiqua"/>
        </w:rPr>
        <w:t>, the City of London law firm that</w:t>
      </w:r>
      <w:r w:rsidR="00233016" w:rsidRPr="00233016">
        <w:rPr>
          <w:rFonts w:ascii="Book Antiqua" w:hAnsi="Book Antiqua"/>
        </w:rPr>
        <w:t xml:space="preserve"> </w:t>
      </w:r>
      <w:r w:rsidR="00987F25">
        <w:rPr>
          <w:rFonts w:ascii="Book Antiqua" w:hAnsi="Book Antiqua"/>
        </w:rPr>
        <w:t xml:space="preserve">represented the care home </w:t>
      </w:r>
      <w:r w:rsidR="00233016" w:rsidRPr="00233016">
        <w:rPr>
          <w:rFonts w:ascii="Book Antiqua" w:hAnsi="Book Antiqua"/>
        </w:rPr>
        <w:t>stated:</w:t>
      </w:r>
    </w:p>
    <w:p w:rsidR="0016135B" w:rsidRDefault="00233016" w:rsidP="0016135B">
      <w:pPr>
        <w:spacing w:line="240" w:lineRule="auto"/>
        <w:ind w:left="426" w:right="521"/>
        <w:jc w:val="both"/>
        <w:rPr>
          <w:rFonts w:ascii="Book Antiqua" w:hAnsi="Book Antiqua"/>
          <w:i/>
        </w:rPr>
      </w:pPr>
      <w:r>
        <w:rPr>
          <w:rFonts w:ascii="Book Antiqua" w:hAnsi="Book Antiqua"/>
          <w:i/>
        </w:rPr>
        <w:t xml:space="preserve"> </w:t>
      </w:r>
      <w:r w:rsidR="0016135B">
        <w:rPr>
          <w:rFonts w:ascii="Book Antiqua" w:hAnsi="Book Antiqua"/>
          <w:i/>
        </w:rPr>
        <w:t>“</w:t>
      </w:r>
      <w:r w:rsidR="00EF2285">
        <w:rPr>
          <w:rFonts w:ascii="Book Antiqua" w:hAnsi="Book Antiqua"/>
          <w:i/>
        </w:rPr>
        <w:t xml:space="preserve">The </w:t>
      </w:r>
      <w:r w:rsidR="00634BA4">
        <w:rPr>
          <w:rFonts w:ascii="Book Antiqua" w:hAnsi="Book Antiqua"/>
          <w:i/>
        </w:rPr>
        <w:t>Coin Group</w:t>
      </w:r>
      <w:r w:rsidR="0016135B">
        <w:rPr>
          <w:rFonts w:ascii="Book Antiqua" w:hAnsi="Book Antiqua"/>
          <w:i/>
        </w:rPr>
        <w:t xml:space="preserve"> took part in</w:t>
      </w:r>
      <w:r w:rsidR="0016135B" w:rsidRPr="0016135B">
        <w:rPr>
          <w:rFonts w:ascii="Book Antiqua" w:hAnsi="Book Antiqua"/>
          <w:i/>
        </w:rPr>
        <w:t xml:space="preserve"> the</w:t>
      </w:r>
      <w:r w:rsidR="00634BA4">
        <w:rPr>
          <w:rFonts w:ascii="Book Antiqua" w:hAnsi="Book Antiqua"/>
          <w:i/>
        </w:rPr>
        <w:t xml:space="preserve"> FS</w:t>
      </w:r>
      <w:r w:rsidR="0016135B">
        <w:rPr>
          <w:rFonts w:ascii="Book Antiqua" w:hAnsi="Book Antiqua"/>
          <w:i/>
        </w:rPr>
        <w:t>A</w:t>
      </w:r>
      <w:r w:rsidR="0016135B" w:rsidRPr="0016135B">
        <w:rPr>
          <w:rFonts w:ascii="Book Antiqua" w:hAnsi="Book Antiqua"/>
          <w:i/>
        </w:rPr>
        <w:t xml:space="preserve"> pilot IRHP review scheme</w:t>
      </w:r>
      <w:r w:rsidR="00342BA8">
        <w:rPr>
          <w:rFonts w:ascii="Book Antiqua" w:hAnsi="Book Antiqua"/>
          <w:i/>
        </w:rPr>
        <w:t xml:space="preserve"> </w:t>
      </w:r>
      <w:r>
        <w:rPr>
          <w:rFonts w:ascii="Book Antiqua" w:hAnsi="Book Antiqua"/>
          <w:i/>
        </w:rPr>
        <w:t>without any legal assistance</w:t>
      </w:r>
      <w:r w:rsidR="00412A44">
        <w:rPr>
          <w:rFonts w:ascii="Book Antiqua" w:hAnsi="Book Antiqua"/>
          <w:i/>
        </w:rPr>
        <w:t>,</w:t>
      </w:r>
      <w:r w:rsidR="00634BA4">
        <w:rPr>
          <w:rFonts w:ascii="Book Antiqua" w:hAnsi="Book Antiqua"/>
          <w:i/>
        </w:rPr>
        <w:t xml:space="preserve"> on the basis</w:t>
      </w:r>
      <w:r w:rsidR="0016135B" w:rsidRPr="0016135B">
        <w:rPr>
          <w:rFonts w:ascii="Book Antiqua" w:hAnsi="Book Antiqua"/>
          <w:i/>
        </w:rPr>
        <w:t xml:space="preserve"> </w:t>
      </w:r>
      <w:r w:rsidR="00412A44">
        <w:rPr>
          <w:rFonts w:ascii="Book Antiqua" w:hAnsi="Book Antiqua"/>
          <w:i/>
        </w:rPr>
        <w:t>of</w:t>
      </w:r>
      <w:r w:rsidR="00634BA4">
        <w:rPr>
          <w:rFonts w:ascii="Book Antiqua" w:hAnsi="Book Antiqua"/>
          <w:i/>
        </w:rPr>
        <w:t xml:space="preserve"> its faith in the financial regulator</w:t>
      </w:r>
      <w:r w:rsidR="00342BA8">
        <w:rPr>
          <w:rFonts w:ascii="Book Antiqua" w:hAnsi="Book Antiqua"/>
          <w:i/>
        </w:rPr>
        <w:t>,</w:t>
      </w:r>
      <w:r w:rsidR="00634BA4">
        <w:rPr>
          <w:rFonts w:ascii="Book Antiqua" w:hAnsi="Book Antiqua"/>
          <w:i/>
        </w:rPr>
        <w:t xml:space="preserve"> </w:t>
      </w:r>
      <w:r w:rsidR="0016135B">
        <w:rPr>
          <w:rFonts w:ascii="Book Antiqua" w:hAnsi="Book Antiqua"/>
          <w:i/>
        </w:rPr>
        <w:t xml:space="preserve">until </w:t>
      </w:r>
      <w:r>
        <w:rPr>
          <w:rFonts w:ascii="Book Antiqua" w:hAnsi="Book Antiqua"/>
          <w:i/>
        </w:rPr>
        <w:t>it was</w:t>
      </w:r>
      <w:r w:rsidR="0016135B" w:rsidRPr="0016135B">
        <w:rPr>
          <w:rFonts w:ascii="Book Antiqua" w:hAnsi="Book Antiqua"/>
          <w:i/>
        </w:rPr>
        <w:t xml:space="preserve"> ejected </w:t>
      </w:r>
      <w:r w:rsidR="00412A44">
        <w:rPr>
          <w:rFonts w:ascii="Book Antiqua" w:hAnsi="Book Antiqua"/>
          <w:i/>
        </w:rPr>
        <w:t>by Lloyds</w:t>
      </w:r>
      <w:r w:rsidR="00BA2523">
        <w:rPr>
          <w:rFonts w:ascii="Book Antiqua" w:hAnsi="Book Antiqua"/>
          <w:i/>
        </w:rPr>
        <w:t xml:space="preserve"> due to a change in the IRHP scheme to exclude so-called ‘sophisticated’</w:t>
      </w:r>
      <w:r w:rsidR="00BA2523">
        <w:rPr>
          <w:rStyle w:val="FootnoteReference"/>
          <w:rFonts w:ascii="Book Antiqua" w:hAnsi="Book Antiqua"/>
          <w:i/>
        </w:rPr>
        <w:footnoteReference w:id="9"/>
      </w:r>
      <w:r w:rsidR="00BA2523">
        <w:rPr>
          <w:rFonts w:ascii="Book Antiqua" w:hAnsi="Book Antiqua"/>
          <w:i/>
        </w:rPr>
        <w:t xml:space="preserve"> customers</w:t>
      </w:r>
      <w:r w:rsidR="00EF2285">
        <w:rPr>
          <w:rFonts w:ascii="Book Antiqua" w:hAnsi="Book Antiqua"/>
          <w:i/>
        </w:rPr>
        <w:t>. N</w:t>
      </w:r>
      <w:r w:rsidR="0016135B" w:rsidRPr="0016135B">
        <w:rPr>
          <w:rFonts w:ascii="Book Antiqua" w:hAnsi="Book Antiqua"/>
          <w:i/>
        </w:rPr>
        <w:t>otably</w:t>
      </w:r>
      <w:r w:rsidR="00EF2285">
        <w:rPr>
          <w:rFonts w:ascii="Book Antiqua" w:hAnsi="Book Antiqua"/>
          <w:i/>
        </w:rPr>
        <w:t>,</w:t>
      </w:r>
      <w:r w:rsidR="0016135B" w:rsidRPr="0016135B">
        <w:rPr>
          <w:rFonts w:ascii="Book Antiqua" w:hAnsi="Book Antiqua"/>
          <w:i/>
        </w:rPr>
        <w:t xml:space="preserve"> </w:t>
      </w:r>
      <w:r w:rsidR="00EF2285">
        <w:rPr>
          <w:rFonts w:ascii="Book Antiqua" w:hAnsi="Book Antiqua"/>
          <w:i/>
        </w:rPr>
        <w:t>communication of that</w:t>
      </w:r>
      <w:r w:rsidR="00412A44">
        <w:rPr>
          <w:rFonts w:ascii="Book Antiqua" w:hAnsi="Book Antiqua"/>
          <w:i/>
        </w:rPr>
        <w:t xml:space="preserve"> </w:t>
      </w:r>
      <w:r w:rsidR="0016135B" w:rsidRPr="0016135B">
        <w:rPr>
          <w:rFonts w:ascii="Book Antiqua" w:hAnsi="Book Antiqua"/>
          <w:i/>
        </w:rPr>
        <w:t xml:space="preserve">ejection </w:t>
      </w:r>
      <w:r w:rsidR="0016135B">
        <w:rPr>
          <w:rFonts w:ascii="Book Antiqua" w:hAnsi="Book Antiqua"/>
          <w:i/>
        </w:rPr>
        <w:t xml:space="preserve">decision </w:t>
      </w:r>
      <w:r w:rsidR="0016135B" w:rsidRPr="0016135B">
        <w:rPr>
          <w:rFonts w:ascii="Book Antiqua" w:hAnsi="Book Antiqua"/>
          <w:i/>
        </w:rPr>
        <w:t xml:space="preserve">was delayed </w:t>
      </w:r>
      <w:r w:rsidR="0016135B">
        <w:rPr>
          <w:rFonts w:ascii="Book Antiqua" w:hAnsi="Book Antiqua"/>
          <w:i/>
        </w:rPr>
        <w:t xml:space="preserve">by Lloyds for several months for no </w:t>
      </w:r>
      <w:r w:rsidR="00D22819">
        <w:rPr>
          <w:rFonts w:ascii="Book Antiqua" w:hAnsi="Book Antiqua"/>
          <w:i/>
        </w:rPr>
        <w:t xml:space="preserve">valid </w:t>
      </w:r>
      <w:r w:rsidR="0016135B">
        <w:rPr>
          <w:rFonts w:ascii="Book Antiqua" w:hAnsi="Book Antiqua"/>
          <w:i/>
        </w:rPr>
        <w:t xml:space="preserve">reason except perhaps the hope that </w:t>
      </w:r>
      <w:r w:rsidR="00342BA8">
        <w:rPr>
          <w:rFonts w:ascii="Book Antiqua" w:hAnsi="Book Antiqua"/>
          <w:i/>
        </w:rPr>
        <w:t>the care h</w:t>
      </w:r>
      <w:r w:rsidR="00634BA4">
        <w:rPr>
          <w:rFonts w:ascii="Book Antiqua" w:hAnsi="Book Antiqua"/>
          <w:i/>
        </w:rPr>
        <w:t>ome</w:t>
      </w:r>
      <w:r w:rsidR="00D22819">
        <w:rPr>
          <w:rFonts w:ascii="Book Antiqua" w:hAnsi="Book Antiqua"/>
          <w:i/>
        </w:rPr>
        <w:t xml:space="preserve">’s </w:t>
      </w:r>
      <w:r w:rsidR="0016135B">
        <w:rPr>
          <w:rFonts w:ascii="Book Antiqua" w:hAnsi="Book Antiqua"/>
          <w:i/>
        </w:rPr>
        <w:t>legal rights would become time barred</w:t>
      </w:r>
      <w:r w:rsidR="0016135B" w:rsidRPr="0016135B">
        <w:rPr>
          <w:rFonts w:ascii="Book Antiqua" w:hAnsi="Book Antiqua"/>
          <w:i/>
        </w:rPr>
        <w:t>.</w:t>
      </w:r>
      <w:r>
        <w:rPr>
          <w:rFonts w:ascii="Book Antiqua" w:hAnsi="Book Antiqua"/>
          <w:i/>
        </w:rPr>
        <w:t xml:space="preserve"> Indeed</w:t>
      </w:r>
      <w:r w:rsidR="00EF2285">
        <w:rPr>
          <w:rFonts w:ascii="Book Antiqua" w:hAnsi="Book Antiqua"/>
          <w:i/>
        </w:rPr>
        <w:t>,</w:t>
      </w:r>
      <w:r>
        <w:rPr>
          <w:rFonts w:ascii="Book Antiqua" w:hAnsi="Book Antiqua"/>
          <w:i/>
        </w:rPr>
        <w:t xml:space="preserve"> the decision letter from Lloyds that labelled </w:t>
      </w:r>
      <w:r w:rsidR="00D22819">
        <w:rPr>
          <w:rFonts w:ascii="Book Antiqua" w:hAnsi="Book Antiqua"/>
          <w:i/>
        </w:rPr>
        <w:t>our client</w:t>
      </w:r>
      <w:r>
        <w:rPr>
          <w:rFonts w:ascii="Book Antiqua" w:hAnsi="Book Antiqua"/>
          <w:i/>
        </w:rPr>
        <w:t xml:space="preserve"> as ‘sophisticated’ </w:t>
      </w:r>
      <w:r w:rsidR="00B00C49">
        <w:rPr>
          <w:rFonts w:ascii="Book Antiqua" w:hAnsi="Book Antiqua"/>
          <w:i/>
        </w:rPr>
        <w:t xml:space="preserve">finally </w:t>
      </w:r>
      <w:r>
        <w:rPr>
          <w:rFonts w:ascii="Book Antiqua" w:hAnsi="Book Antiqua"/>
          <w:i/>
        </w:rPr>
        <w:t>arrived</w:t>
      </w:r>
      <w:r w:rsidR="00B00C49">
        <w:rPr>
          <w:rFonts w:ascii="Book Antiqua" w:hAnsi="Book Antiqua"/>
          <w:i/>
        </w:rPr>
        <w:t xml:space="preserve">, seven or so months late, </w:t>
      </w:r>
      <w:r w:rsidR="00AF3077">
        <w:rPr>
          <w:rFonts w:ascii="Book Antiqua" w:hAnsi="Book Antiqua"/>
          <w:i/>
        </w:rPr>
        <w:t>just</w:t>
      </w:r>
      <w:r>
        <w:rPr>
          <w:rFonts w:ascii="Book Antiqua" w:hAnsi="Book Antiqua"/>
          <w:i/>
        </w:rPr>
        <w:t xml:space="preserve"> </w:t>
      </w:r>
      <w:r w:rsidR="00B00C49">
        <w:rPr>
          <w:rFonts w:ascii="Book Antiqua" w:hAnsi="Book Antiqua"/>
          <w:i/>
        </w:rPr>
        <w:t xml:space="preserve">weeks </w:t>
      </w:r>
      <w:r>
        <w:rPr>
          <w:rFonts w:ascii="Book Antiqua" w:hAnsi="Book Antiqua"/>
          <w:i/>
        </w:rPr>
        <w:t>after our</w:t>
      </w:r>
      <w:r w:rsidR="00D22819">
        <w:rPr>
          <w:rFonts w:ascii="Book Antiqua" w:hAnsi="Book Antiqua"/>
          <w:i/>
        </w:rPr>
        <w:t xml:space="preserve"> client’s primary</w:t>
      </w:r>
      <w:r>
        <w:rPr>
          <w:rFonts w:ascii="Book Antiqua" w:hAnsi="Book Antiqua"/>
          <w:i/>
        </w:rPr>
        <w:t xml:space="preserve"> legal rights had expired</w:t>
      </w:r>
      <w:r w:rsidR="00D22819">
        <w:rPr>
          <w:rFonts w:ascii="Book Antiqua" w:hAnsi="Book Antiqua"/>
          <w:i/>
        </w:rPr>
        <w:t xml:space="preserve"> by virtue of the Limitation Act</w:t>
      </w:r>
      <w:r>
        <w:rPr>
          <w:rFonts w:ascii="Book Antiqua" w:hAnsi="Book Antiqua"/>
          <w:i/>
        </w:rPr>
        <w:t>.</w:t>
      </w:r>
      <w:r w:rsidR="0016135B">
        <w:rPr>
          <w:rFonts w:ascii="Book Antiqua" w:hAnsi="Book Antiqua"/>
          <w:i/>
        </w:rPr>
        <w:t xml:space="preserve"> </w:t>
      </w:r>
      <w:r>
        <w:rPr>
          <w:rFonts w:ascii="Book Antiqua" w:hAnsi="Book Antiqua"/>
          <w:i/>
        </w:rPr>
        <w:t>Fortunately</w:t>
      </w:r>
      <w:r w:rsidR="00D22819">
        <w:rPr>
          <w:rFonts w:ascii="Book Antiqua" w:hAnsi="Book Antiqua"/>
          <w:i/>
        </w:rPr>
        <w:t>,</w:t>
      </w:r>
      <w:r>
        <w:rPr>
          <w:rFonts w:ascii="Book Antiqua" w:hAnsi="Book Antiqua"/>
          <w:i/>
        </w:rPr>
        <w:t xml:space="preserve"> having taken legal advice</w:t>
      </w:r>
      <w:r w:rsidR="00D22819">
        <w:rPr>
          <w:rFonts w:ascii="Book Antiqua" w:hAnsi="Book Antiqua"/>
          <w:i/>
        </w:rPr>
        <w:t xml:space="preserve"> in time,</w:t>
      </w:r>
      <w:r>
        <w:rPr>
          <w:rFonts w:ascii="Book Antiqua" w:hAnsi="Book Antiqua"/>
          <w:i/>
        </w:rPr>
        <w:t xml:space="preserve"> a</w:t>
      </w:r>
      <w:r w:rsidR="00D22819">
        <w:rPr>
          <w:rFonts w:ascii="Book Antiqua" w:hAnsi="Book Antiqua"/>
          <w:i/>
        </w:rPr>
        <w:t>n urgent protective</w:t>
      </w:r>
      <w:r>
        <w:rPr>
          <w:rFonts w:ascii="Book Antiqua" w:hAnsi="Book Antiqua"/>
          <w:i/>
        </w:rPr>
        <w:t xml:space="preserve"> claim form was issued and </w:t>
      </w:r>
      <w:r w:rsidR="00D22819">
        <w:rPr>
          <w:rFonts w:ascii="Book Antiqua" w:hAnsi="Book Antiqua"/>
          <w:i/>
        </w:rPr>
        <w:t>litigation commenced</w:t>
      </w:r>
      <w:r w:rsidR="00342BA8">
        <w:rPr>
          <w:rFonts w:ascii="Book Antiqua" w:hAnsi="Book Antiqua"/>
          <w:i/>
        </w:rPr>
        <w:t>. The litigation</w:t>
      </w:r>
      <w:r w:rsidR="00D22819">
        <w:rPr>
          <w:rFonts w:ascii="Book Antiqua" w:hAnsi="Book Antiqua"/>
          <w:i/>
        </w:rPr>
        <w:t xml:space="preserve"> was</w:t>
      </w:r>
      <w:r w:rsidR="00AF3077">
        <w:rPr>
          <w:rFonts w:ascii="Book Antiqua" w:hAnsi="Book Antiqua"/>
          <w:i/>
        </w:rPr>
        <w:t>, as usual</w:t>
      </w:r>
      <w:r w:rsidR="00AF3077">
        <w:rPr>
          <w:rStyle w:val="FootnoteReference"/>
          <w:rFonts w:ascii="Book Antiqua" w:hAnsi="Book Antiqua"/>
          <w:i/>
        </w:rPr>
        <w:footnoteReference w:id="10"/>
      </w:r>
      <w:r w:rsidR="00AF3077">
        <w:rPr>
          <w:rFonts w:ascii="Book Antiqua" w:hAnsi="Book Antiqua"/>
          <w:i/>
        </w:rPr>
        <w:t>,</w:t>
      </w:r>
      <w:r w:rsidR="00D22819">
        <w:rPr>
          <w:rFonts w:ascii="Book Antiqua" w:hAnsi="Book Antiqua"/>
          <w:i/>
        </w:rPr>
        <w:t xml:space="preserve"> vigorously d</w:t>
      </w:r>
      <w:r w:rsidR="002D14EA">
        <w:rPr>
          <w:rFonts w:ascii="Book Antiqua" w:hAnsi="Book Antiqua"/>
          <w:i/>
        </w:rPr>
        <w:t>efended by Lloyds Bank and the</w:t>
      </w:r>
      <w:r w:rsidR="00D22819">
        <w:rPr>
          <w:rFonts w:ascii="Book Antiqua" w:hAnsi="Book Antiqua"/>
          <w:i/>
        </w:rPr>
        <w:t xml:space="preserve"> </w:t>
      </w:r>
      <w:r w:rsidR="002D14EA">
        <w:rPr>
          <w:rFonts w:ascii="Book Antiqua" w:hAnsi="Book Antiqua"/>
          <w:i/>
        </w:rPr>
        <w:t>heavyweight legal team they fielded to deny liability</w:t>
      </w:r>
      <w:r w:rsidR="002D14EA">
        <w:rPr>
          <w:rStyle w:val="FootnoteReference"/>
          <w:rFonts w:ascii="Book Antiqua" w:hAnsi="Book Antiqua"/>
          <w:i/>
        </w:rPr>
        <w:footnoteReference w:id="11"/>
      </w:r>
      <w:r w:rsidR="00D22819">
        <w:rPr>
          <w:rFonts w:ascii="Book Antiqua" w:hAnsi="Book Antiqua"/>
          <w:i/>
        </w:rPr>
        <w:t>. T</w:t>
      </w:r>
      <w:r>
        <w:rPr>
          <w:rFonts w:ascii="Book Antiqua" w:hAnsi="Book Antiqua"/>
          <w:i/>
        </w:rPr>
        <w:t>herefore</w:t>
      </w:r>
      <w:r w:rsidR="002D14EA">
        <w:rPr>
          <w:rFonts w:ascii="Book Antiqua" w:hAnsi="Book Antiqua"/>
          <w:i/>
        </w:rPr>
        <w:t>,</w:t>
      </w:r>
      <w:r>
        <w:rPr>
          <w:rFonts w:ascii="Book Antiqua" w:hAnsi="Book Antiqua"/>
          <w:i/>
        </w:rPr>
        <w:t xml:space="preserve"> w</w:t>
      </w:r>
      <w:r w:rsidR="0016135B">
        <w:rPr>
          <w:rFonts w:ascii="Book Antiqua" w:hAnsi="Book Antiqua"/>
          <w:i/>
        </w:rPr>
        <w:t>hilst Lloyds escaped compensati</w:t>
      </w:r>
      <w:r w:rsidR="00B00C49">
        <w:rPr>
          <w:rFonts w:ascii="Book Antiqua" w:hAnsi="Book Antiqua"/>
          <w:i/>
        </w:rPr>
        <w:t>ng this customer</w:t>
      </w:r>
      <w:r w:rsidR="007552CF">
        <w:rPr>
          <w:rFonts w:ascii="Book Antiqua" w:hAnsi="Book Antiqua"/>
          <w:i/>
        </w:rPr>
        <w:t xml:space="preserve"> </w:t>
      </w:r>
      <w:r w:rsidR="00D22819">
        <w:rPr>
          <w:rFonts w:ascii="Book Antiqua" w:hAnsi="Book Antiqua"/>
          <w:i/>
        </w:rPr>
        <w:t xml:space="preserve">millions of pounds in </w:t>
      </w:r>
      <w:r w:rsidR="00342BA8">
        <w:rPr>
          <w:rFonts w:ascii="Book Antiqua" w:hAnsi="Book Antiqua"/>
          <w:i/>
        </w:rPr>
        <w:t>its</w:t>
      </w:r>
      <w:r w:rsidR="00D22819">
        <w:rPr>
          <w:rFonts w:ascii="Book Antiqua" w:hAnsi="Book Antiqua"/>
          <w:i/>
        </w:rPr>
        <w:t xml:space="preserve"> </w:t>
      </w:r>
      <w:r w:rsidR="002D14EA">
        <w:rPr>
          <w:rFonts w:ascii="Book Antiqua" w:hAnsi="Book Antiqua"/>
          <w:i/>
        </w:rPr>
        <w:t>FCA-backed</w:t>
      </w:r>
      <w:r w:rsidR="00342BA8">
        <w:rPr>
          <w:rFonts w:ascii="Book Antiqua" w:hAnsi="Book Antiqua"/>
          <w:i/>
        </w:rPr>
        <w:t xml:space="preserve"> </w:t>
      </w:r>
      <w:r w:rsidR="007552CF">
        <w:rPr>
          <w:rFonts w:ascii="Book Antiqua" w:hAnsi="Book Antiqua"/>
          <w:i/>
        </w:rPr>
        <w:t>(</w:t>
      </w:r>
      <w:r w:rsidR="00342BA8">
        <w:rPr>
          <w:rFonts w:ascii="Book Antiqua" w:hAnsi="Book Antiqua"/>
          <w:i/>
        </w:rPr>
        <w:t>but remarkably self-administered</w:t>
      </w:r>
      <w:r w:rsidR="007552CF">
        <w:rPr>
          <w:rFonts w:ascii="Book Antiqua" w:hAnsi="Book Antiqua"/>
          <w:i/>
        </w:rPr>
        <w:t>)</w:t>
      </w:r>
      <w:r w:rsidR="00342BA8">
        <w:rPr>
          <w:rFonts w:ascii="Book Antiqua" w:hAnsi="Book Antiqua"/>
          <w:i/>
        </w:rPr>
        <w:t xml:space="preserve"> IRHP </w:t>
      </w:r>
      <w:r w:rsidR="0016135B">
        <w:rPr>
          <w:rFonts w:ascii="Book Antiqua" w:hAnsi="Book Antiqua"/>
          <w:i/>
        </w:rPr>
        <w:t>review scheme</w:t>
      </w:r>
      <w:r w:rsidR="002D14EA">
        <w:rPr>
          <w:rFonts w:ascii="Book Antiqua" w:hAnsi="Book Antiqua"/>
          <w:i/>
        </w:rPr>
        <w:t xml:space="preserve">, the bank </w:t>
      </w:r>
      <w:r w:rsidR="0016135B">
        <w:rPr>
          <w:rFonts w:ascii="Book Antiqua" w:hAnsi="Book Antiqua"/>
          <w:i/>
        </w:rPr>
        <w:t>was forced</w:t>
      </w:r>
      <w:r>
        <w:rPr>
          <w:rFonts w:ascii="Book Antiqua" w:hAnsi="Book Antiqua"/>
          <w:i/>
        </w:rPr>
        <w:t xml:space="preserve"> to settle </w:t>
      </w:r>
      <w:r w:rsidR="00D22819">
        <w:rPr>
          <w:rFonts w:ascii="Book Antiqua" w:hAnsi="Book Antiqua"/>
          <w:i/>
        </w:rPr>
        <w:t>our</w:t>
      </w:r>
      <w:r w:rsidR="002D14EA">
        <w:rPr>
          <w:rFonts w:ascii="Book Antiqua" w:hAnsi="Book Antiqua"/>
          <w:i/>
        </w:rPr>
        <w:t xml:space="preserve"> client’s</w:t>
      </w:r>
      <w:r>
        <w:rPr>
          <w:rFonts w:ascii="Book Antiqua" w:hAnsi="Book Antiqua"/>
          <w:i/>
        </w:rPr>
        <w:t xml:space="preserve"> litigation</w:t>
      </w:r>
      <w:r w:rsidR="00D22819">
        <w:rPr>
          <w:rFonts w:ascii="Book Antiqua" w:hAnsi="Book Antiqua"/>
          <w:i/>
        </w:rPr>
        <w:t xml:space="preserve"> c</w:t>
      </w:r>
      <w:r w:rsidR="002D14EA">
        <w:rPr>
          <w:rFonts w:ascii="Book Antiqua" w:hAnsi="Book Antiqua"/>
          <w:i/>
        </w:rPr>
        <w:t>laim</w:t>
      </w:r>
      <w:r w:rsidR="00D22819">
        <w:rPr>
          <w:rFonts w:ascii="Book Antiqua" w:hAnsi="Book Antiqua"/>
          <w:i/>
        </w:rPr>
        <w:t xml:space="preserve"> in order to avoid judicial scrutiny </w:t>
      </w:r>
      <w:r w:rsidR="002D14EA">
        <w:rPr>
          <w:rFonts w:ascii="Book Antiqua" w:hAnsi="Book Antiqua"/>
          <w:i/>
        </w:rPr>
        <w:t xml:space="preserve">and judgment </w:t>
      </w:r>
      <w:r w:rsidR="00D22819">
        <w:rPr>
          <w:rFonts w:ascii="Book Antiqua" w:hAnsi="Book Antiqua"/>
          <w:i/>
        </w:rPr>
        <w:t xml:space="preserve">over </w:t>
      </w:r>
      <w:r w:rsidR="00342BA8">
        <w:rPr>
          <w:rFonts w:ascii="Book Antiqua" w:hAnsi="Book Antiqua"/>
          <w:i/>
        </w:rPr>
        <w:t>its past sales</w:t>
      </w:r>
      <w:r w:rsidR="00D22819">
        <w:rPr>
          <w:rFonts w:ascii="Book Antiqua" w:hAnsi="Book Antiqua"/>
          <w:i/>
        </w:rPr>
        <w:t xml:space="preserve"> conduct</w:t>
      </w:r>
      <w:r>
        <w:rPr>
          <w:rFonts w:ascii="Book Antiqua" w:hAnsi="Book Antiqua"/>
          <w:i/>
        </w:rPr>
        <w:t>.</w:t>
      </w:r>
      <w:r w:rsidR="002D14EA">
        <w:rPr>
          <w:rFonts w:ascii="Book Antiqua" w:hAnsi="Book Antiqua"/>
          <w:i/>
        </w:rPr>
        <w:t xml:space="preserve"> Lloyds Bank Plc has </w:t>
      </w:r>
      <w:r w:rsidR="00342BA8">
        <w:rPr>
          <w:rFonts w:ascii="Book Antiqua" w:hAnsi="Book Antiqua"/>
          <w:i/>
        </w:rPr>
        <w:t>agreed to bear</w:t>
      </w:r>
      <w:r w:rsidR="00634BA4">
        <w:rPr>
          <w:rFonts w:ascii="Book Antiqua" w:hAnsi="Book Antiqua"/>
          <w:i/>
        </w:rPr>
        <w:t xml:space="preserve"> financial losses which</w:t>
      </w:r>
      <w:r w:rsidR="00342BA8">
        <w:rPr>
          <w:rFonts w:ascii="Book Antiqua" w:hAnsi="Book Antiqua"/>
          <w:i/>
        </w:rPr>
        <w:t>,</w:t>
      </w:r>
      <w:r w:rsidR="00342BA8" w:rsidRPr="00342BA8">
        <w:rPr>
          <w:rFonts w:ascii="Book Antiqua" w:hAnsi="Book Antiqua"/>
          <w:i/>
        </w:rPr>
        <w:t xml:space="preserve"> </w:t>
      </w:r>
      <w:r w:rsidR="00342BA8">
        <w:rPr>
          <w:rFonts w:ascii="Book Antiqua" w:hAnsi="Book Antiqua"/>
          <w:i/>
        </w:rPr>
        <w:t>on this one case alone,</w:t>
      </w:r>
      <w:r w:rsidR="00634BA4">
        <w:rPr>
          <w:rFonts w:ascii="Book Antiqua" w:hAnsi="Book Antiqua"/>
          <w:i/>
        </w:rPr>
        <w:t xml:space="preserve"> are likely</w:t>
      </w:r>
      <w:r w:rsidR="00342BA8">
        <w:rPr>
          <w:rFonts w:ascii="Book Antiqua" w:hAnsi="Book Antiqua"/>
          <w:i/>
        </w:rPr>
        <w:t xml:space="preserve"> to be</w:t>
      </w:r>
      <w:r w:rsidR="00634BA4">
        <w:rPr>
          <w:rFonts w:ascii="Book Antiqua" w:hAnsi="Book Antiqua"/>
          <w:i/>
        </w:rPr>
        <w:t xml:space="preserve"> in the region of £4.6 million</w:t>
      </w:r>
      <w:r w:rsidR="00B00C49">
        <w:rPr>
          <w:rFonts w:ascii="Book Antiqua" w:hAnsi="Book Antiqua"/>
          <w:i/>
        </w:rPr>
        <w:t xml:space="preserve"> however the bank h</w:t>
      </w:r>
      <w:r w:rsidR="00B00C49" w:rsidRPr="00B00C49">
        <w:rPr>
          <w:rFonts w:ascii="Book Antiqua" w:hAnsi="Book Antiqua"/>
          <w:i/>
        </w:rPr>
        <w:t>as made no admission of liability</w:t>
      </w:r>
      <w:r w:rsidR="00B00C49">
        <w:rPr>
          <w:rFonts w:ascii="Book Antiqua" w:hAnsi="Book Antiqua"/>
          <w:i/>
        </w:rPr>
        <w:t>.</w:t>
      </w:r>
      <w:r w:rsidR="00634BA4">
        <w:rPr>
          <w:rFonts w:ascii="Book Antiqua" w:hAnsi="Book Antiqua"/>
          <w:i/>
        </w:rPr>
        <w:t xml:space="preserve"> Within this figure lies the break cost of the restructured £6</w:t>
      </w:r>
      <w:r w:rsidR="00342BA8">
        <w:rPr>
          <w:rFonts w:ascii="Book Antiqua" w:hAnsi="Book Antiqua"/>
          <w:i/>
        </w:rPr>
        <w:t xml:space="preserve"> </w:t>
      </w:r>
      <w:r w:rsidR="00634BA4">
        <w:rPr>
          <w:rFonts w:ascii="Book Antiqua" w:hAnsi="Book Antiqua"/>
          <w:i/>
        </w:rPr>
        <w:t>m</w:t>
      </w:r>
      <w:r w:rsidR="00342BA8">
        <w:rPr>
          <w:rFonts w:ascii="Book Antiqua" w:hAnsi="Book Antiqua"/>
          <w:i/>
        </w:rPr>
        <w:t>illion</w:t>
      </w:r>
      <w:r w:rsidR="007552CF">
        <w:rPr>
          <w:rFonts w:ascii="Book Antiqua" w:hAnsi="Book Antiqua"/>
          <w:i/>
        </w:rPr>
        <w:t xml:space="preserve"> </w:t>
      </w:r>
      <w:r w:rsidR="001E7FE6">
        <w:rPr>
          <w:rFonts w:ascii="Book Antiqua" w:hAnsi="Book Antiqua"/>
          <w:i/>
        </w:rPr>
        <w:t>30</w:t>
      </w:r>
      <w:r w:rsidR="007552CF">
        <w:rPr>
          <w:rFonts w:ascii="Book Antiqua" w:hAnsi="Book Antiqua"/>
          <w:i/>
        </w:rPr>
        <w:t>-</w:t>
      </w:r>
      <w:r w:rsidR="00634BA4">
        <w:rPr>
          <w:rFonts w:ascii="Book Antiqua" w:hAnsi="Book Antiqua"/>
          <w:i/>
        </w:rPr>
        <w:t xml:space="preserve">year callable swap. If Lloyds had settled this claim around twelve months </w:t>
      </w:r>
      <w:r w:rsidR="007552CF">
        <w:rPr>
          <w:rFonts w:ascii="Book Antiqua" w:hAnsi="Book Antiqua"/>
          <w:i/>
        </w:rPr>
        <w:t>ago</w:t>
      </w:r>
      <w:r w:rsidR="00412A44">
        <w:rPr>
          <w:rFonts w:ascii="Book Antiqua" w:hAnsi="Book Antiqua"/>
          <w:i/>
        </w:rPr>
        <w:t>,</w:t>
      </w:r>
      <w:r w:rsidR="00634BA4">
        <w:rPr>
          <w:rFonts w:ascii="Book Antiqua" w:hAnsi="Book Antiqua"/>
          <w:i/>
        </w:rPr>
        <w:t xml:space="preserve"> the break cost</w:t>
      </w:r>
      <w:r w:rsidR="001E123D">
        <w:rPr>
          <w:rFonts w:ascii="Book Antiqua" w:hAnsi="Book Antiqua"/>
          <w:i/>
        </w:rPr>
        <w:t xml:space="preserve"> of that swap</w:t>
      </w:r>
      <w:r w:rsidR="00634BA4">
        <w:rPr>
          <w:rFonts w:ascii="Book Antiqua" w:hAnsi="Book Antiqua"/>
          <w:i/>
        </w:rPr>
        <w:t xml:space="preserve"> would have been in the region of £1.8 million</w:t>
      </w:r>
      <w:r w:rsidR="001E123D">
        <w:rPr>
          <w:rFonts w:ascii="Book Antiqua" w:hAnsi="Book Antiqua"/>
          <w:i/>
        </w:rPr>
        <w:t>;</w:t>
      </w:r>
      <w:r w:rsidR="00634BA4">
        <w:rPr>
          <w:rFonts w:ascii="Book Antiqua" w:hAnsi="Book Antiqua"/>
          <w:i/>
        </w:rPr>
        <w:t xml:space="preserve"> instead the bank is </w:t>
      </w:r>
      <w:r w:rsidR="00987F25">
        <w:rPr>
          <w:rFonts w:ascii="Book Antiqua" w:hAnsi="Book Antiqua"/>
          <w:i/>
        </w:rPr>
        <w:t>likely</w:t>
      </w:r>
      <w:r w:rsidR="00634BA4">
        <w:rPr>
          <w:rFonts w:ascii="Book Antiqua" w:hAnsi="Book Antiqua"/>
          <w:i/>
        </w:rPr>
        <w:t xml:space="preserve"> to have incurred a </w:t>
      </w:r>
      <w:r w:rsidR="001E123D">
        <w:rPr>
          <w:rFonts w:ascii="Book Antiqua" w:hAnsi="Book Antiqua"/>
          <w:i/>
        </w:rPr>
        <w:t>recent</w:t>
      </w:r>
      <w:r w:rsidR="00634BA4">
        <w:rPr>
          <w:rFonts w:ascii="Book Antiqua" w:hAnsi="Book Antiqua"/>
          <w:i/>
        </w:rPr>
        <w:t xml:space="preserve"> </w:t>
      </w:r>
      <w:r w:rsidR="00634BA4">
        <w:rPr>
          <w:rFonts w:ascii="Book Antiqua" w:hAnsi="Book Antiqua"/>
          <w:i/>
        </w:rPr>
        <w:lastRenderedPageBreak/>
        <w:t>break cost of up to £3.5 million</w:t>
      </w:r>
      <w:r w:rsidR="003D75CD">
        <w:rPr>
          <w:rStyle w:val="FootnoteReference"/>
          <w:rFonts w:ascii="Book Antiqua" w:hAnsi="Book Antiqua"/>
          <w:i/>
        </w:rPr>
        <w:footnoteReference w:id="12"/>
      </w:r>
      <w:r w:rsidR="001E123D">
        <w:rPr>
          <w:rFonts w:ascii="Book Antiqua" w:hAnsi="Book Antiqua"/>
          <w:i/>
        </w:rPr>
        <w:t>. This</w:t>
      </w:r>
      <w:r w:rsidR="00634BA4">
        <w:rPr>
          <w:rFonts w:ascii="Book Antiqua" w:hAnsi="Book Antiqua"/>
          <w:i/>
        </w:rPr>
        <w:t xml:space="preserve"> highlights the massive contingent liabilit</w:t>
      </w:r>
      <w:r w:rsidR="00412A44">
        <w:rPr>
          <w:rFonts w:ascii="Book Antiqua" w:hAnsi="Book Antiqua"/>
          <w:i/>
        </w:rPr>
        <w:t>ies</w:t>
      </w:r>
      <w:r w:rsidR="00634BA4">
        <w:rPr>
          <w:rFonts w:ascii="Book Antiqua" w:hAnsi="Book Antiqua"/>
          <w:i/>
        </w:rPr>
        <w:t xml:space="preserve"> </w:t>
      </w:r>
      <w:r w:rsidR="00412A44">
        <w:rPr>
          <w:rFonts w:ascii="Book Antiqua" w:hAnsi="Book Antiqua"/>
          <w:i/>
        </w:rPr>
        <w:t xml:space="preserve">involved </w:t>
      </w:r>
      <w:r w:rsidR="00634BA4">
        <w:rPr>
          <w:rFonts w:ascii="Book Antiqua" w:hAnsi="Book Antiqua"/>
          <w:i/>
        </w:rPr>
        <w:t>in these complex financial instruments</w:t>
      </w:r>
      <w:r w:rsidR="00F213E9">
        <w:rPr>
          <w:rFonts w:ascii="Book Antiqua" w:hAnsi="Book Antiqua"/>
          <w:i/>
        </w:rPr>
        <w:t>,</w:t>
      </w:r>
      <w:r w:rsidR="00634BA4">
        <w:rPr>
          <w:rFonts w:ascii="Book Antiqua" w:hAnsi="Book Antiqua"/>
          <w:i/>
        </w:rPr>
        <w:t xml:space="preserve"> which</w:t>
      </w:r>
      <w:r w:rsidR="001E123D">
        <w:rPr>
          <w:rFonts w:ascii="Book Antiqua" w:hAnsi="Book Antiqua"/>
          <w:i/>
        </w:rPr>
        <w:t xml:space="preserve"> liabilities were purposefully hidden from</w:t>
      </w:r>
      <w:r w:rsidR="00634BA4">
        <w:rPr>
          <w:rFonts w:ascii="Book Antiqua" w:hAnsi="Book Antiqua"/>
          <w:i/>
        </w:rPr>
        <w:t xml:space="preserve"> SMEs to allow</w:t>
      </w:r>
      <w:r w:rsidR="003D75CD">
        <w:rPr>
          <w:rFonts w:ascii="Book Antiqua" w:hAnsi="Book Antiqua"/>
          <w:i/>
        </w:rPr>
        <w:t xml:space="preserve"> the major banks, and their incentivised staff, to make huge </w:t>
      </w:r>
      <w:r w:rsidR="00634BA4">
        <w:rPr>
          <w:rFonts w:ascii="Book Antiqua" w:hAnsi="Book Antiqua"/>
          <w:i/>
        </w:rPr>
        <w:t>profit</w:t>
      </w:r>
      <w:r w:rsidR="003D75CD">
        <w:rPr>
          <w:rFonts w:ascii="Book Antiqua" w:hAnsi="Book Antiqua"/>
          <w:i/>
        </w:rPr>
        <w:t>s</w:t>
      </w:r>
      <w:r w:rsidR="00634BA4">
        <w:rPr>
          <w:rFonts w:ascii="Book Antiqua" w:hAnsi="Book Antiqua"/>
          <w:i/>
        </w:rPr>
        <w:t xml:space="preserve"> on these </w:t>
      </w:r>
      <w:r w:rsidR="007552CF">
        <w:rPr>
          <w:rFonts w:ascii="Book Antiqua" w:hAnsi="Book Antiqua"/>
          <w:i/>
        </w:rPr>
        <w:t xml:space="preserve">derivatives </w:t>
      </w:r>
      <w:r w:rsidR="00634BA4">
        <w:rPr>
          <w:rFonts w:ascii="Book Antiqua" w:hAnsi="Book Antiqua"/>
          <w:i/>
        </w:rPr>
        <w:t>trades.</w:t>
      </w:r>
      <w:r w:rsidR="0016135B">
        <w:rPr>
          <w:rFonts w:ascii="Book Antiqua" w:hAnsi="Book Antiqua"/>
          <w:i/>
        </w:rPr>
        <w:t>”</w:t>
      </w:r>
    </w:p>
    <w:p w:rsidR="007B7424" w:rsidRDefault="007B7424" w:rsidP="00D22819">
      <w:pPr>
        <w:spacing w:line="240" w:lineRule="auto"/>
        <w:ind w:right="-46"/>
        <w:jc w:val="both"/>
        <w:rPr>
          <w:rFonts w:ascii="Book Antiqua" w:hAnsi="Book Antiqua"/>
        </w:rPr>
      </w:pPr>
      <w:r>
        <w:rPr>
          <w:rFonts w:ascii="Book Antiqua" w:hAnsi="Book Antiqua"/>
        </w:rPr>
        <w:t xml:space="preserve">Mr </w:t>
      </w:r>
      <w:hyperlink r:id="rId10" w:history="1">
        <w:proofErr w:type="spellStart"/>
        <w:r w:rsidRPr="007B7424">
          <w:rPr>
            <w:rStyle w:val="Hyperlink"/>
            <w:rFonts w:ascii="Book Antiqua" w:hAnsi="Book Antiqua"/>
          </w:rPr>
          <w:t>Kumaran</w:t>
        </w:r>
        <w:proofErr w:type="spellEnd"/>
        <w:r w:rsidRPr="007B7424">
          <w:rPr>
            <w:rStyle w:val="Hyperlink"/>
            <w:rFonts w:ascii="Book Antiqua" w:hAnsi="Book Antiqua"/>
          </w:rPr>
          <w:t xml:space="preserve"> </w:t>
        </w:r>
        <w:proofErr w:type="spellStart"/>
        <w:r w:rsidRPr="007B7424">
          <w:rPr>
            <w:rStyle w:val="Hyperlink"/>
            <w:rFonts w:ascii="Book Antiqua" w:hAnsi="Book Antiqua"/>
          </w:rPr>
          <w:t>Sivathillainathan</w:t>
        </w:r>
        <w:proofErr w:type="spellEnd"/>
      </w:hyperlink>
      <w:r>
        <w:rPr>
          <w:rFonts w:ascii="Book Antiqua" w:hAnsi="Book Antiqua"/>
        </w:rPr>
        <w:t>, a</w:t>
      </w:r>
      <w:r w:rsidR="00E20EFA">
        <w:rPr>
          <w:rFonts w:ascii="Book Antiqua" w:hAnsi="Book Antiqua"/>
        </w:rPr>
        <w:t xml:space="preserve"> senior</w:t>
      </w:r>
      <w:r w:rsidR="008F2139">
        <w:rPr>
          <w:rFonts w:ascii="Book Antiqua" w:hAnsi="Book Antiqua"/>
        </w:rPr>
        <w:t xml:space="preserve"> associate solicitor </w:t>
      </w:r>
      <w:r>
        <w:rPr>
          <w:rFonts w:ascii="Book Antiqua" w:hAnsi="Book Antiqua"/>
        </w:rPr>
        <w:t>at</w:t>
      </w:r>
      <w:r w:rsidR="00987F25">
        <w:rPr>
          <w:rFonts w:ascii="Book Antiqua" w:hAnsi="Book Antiqua"/>
        </w:rPr>
        <w:t xml:space="preserve"> city law firm</w:t>
      </w:r>
      <w:r>
        <w:rPr>
          <w:rFonts w:ascii="Book Antiqua" w:hAnsi="Book Antiqua"/>
        </w:rPr>
        <w:t xml:space="preserve"> </w:t>
      </w:r>
      <w:hyperlink r:id="rId11" w:history="1">
        <w:r w:rsidRPr="007B7424">
          <w:rPr>
            <w:rStyle w:val="Hyperlink"/>
            <w:rFonts w:ascii="Book Antiqua" w:hAnsi="Book Antiqua"/>
          </w:rPr>
          <w:t>LEXLAW Solicitors &amp; Barristers</w:t>
        </w:r>
      </w:hyperlink>
      <w:r w:rsidRPr="007B7424">
        <w:rPr>
          <w:rFonts w:ascii="Book Antiqua" w:hAnsi="Book Antiqua"/>
        </w:rPr>
        <w:t xml:space="preserve"> </w:t>
      </w:r>
      <w:r w:rsidR="00987F25">
        <w:rPr>
          <w:rFonts w:ascii="Book Antiqua" w:hAnsi="Book Antiqua"/>
        </w:rPr>
        <w:t xml:space="preserve">which represented </w:t>
      </w:r>
      <w:r w:rsidR="00E20EFA">
        <w:rPr>
          <w:rFonts w:ascii="Book Antiqua" w:hAnsi="Book Antiqua"/>
        </w:rPr>
        <w:t xml:space="preserve">The </w:t>
      </w:r>
      <w:r w:rsidR="00987F25">
        <w:rPr>
          <w:rFonts w:ascii="Book Antiqua" w:hAnsi="Book Antiqua"/>
        </w:rPr>
        <w:t xml:space="preserve">Coin Group </w:t>
      </w:r>
      <w:r w:rsidRPr="007B7424">
        <w:rPr>
          <w:rFonts w:ascii="Book Antiqua" w:hAnsi="Book Antiqua"/>
        </w:rPr>
        <w:t>stated:</w:t>
      </w:r>
    </w:p>
    <w:p w:rsidR="008F2139" w:rsidRPr="00D22819" w:rsidRDefault="008F2139" w:rsidP="008F2139">
      <w:pPr>
        <w:spacing w:line="240" w:lineRule="auto"/>
        <w:ind w:left="426" w:right="521"/>
        <w:jc w:val="both"/>
        <w:rPr>
          <w:rFonts w:ascii="Book Antiqua" w:hAnsi="Book Antiqua"/>
          <w:i/>
        </w:rPr>
      </w:pPr>
      <w:r>
        <w:rPr>
          <w:rFonts w:ascii="Book Antiqua" w:hAnsi="Book Antiqua"/>
          <w:i/>
        </w:rPr>
        <w:t xml:space="preserve"> </w:t>
      </w:r>
      <w:r w:rsidRPr="00D22819">
        <w:rPr>
          <w:rFonts w:ascii="Book Antiqua" w:hAnsi="Book Antiqua"/>
          <w:i/>
        </w:rPr>
        <w:t>“</w:t>
      </w:r>
      <w:r w:rsidR="00B420DB">
        <w:rPr>
          <w:rFonts w:ascii="Book Antiqua" w:hAnsi="Book Antiqua"/>
          <w:i/>
        </w:rPr>
        <w:t>A scandal that has not yet been remedied by any review scheme is that many major banks and building societies have routinely sold hidden swaps</w:t>
      </w:r>
      <w:r w:rsidR="00E20EFA">
        <w:rPr>
          <w:rStyle w:val="FootnoteReference"/>
          <w:rFonts w:ascii="Book Antiqua" w:hAnsi="Book Antiqua"/>
          <w:i/>
        </w:rPr>
        <w:footnoteReference w:id="13"/>
      </w:r>
      <w:r w:rsidR="00B420DB">
        <w:rPr>
          <w:rFonts w:ascii="Book Antiqua" w:hAnsi="Book Antiqua"/>
          <w:i/>
        </w:rPr>
        <w:t xml:space="preserve"> to customers by embedding such derivatives into fixed rate loans to avoid derivatives regulation. In this case, </w:t>
      </w:r>
      <w:r w:rsidR="00F447E6">
        <w:rPr>
          <w:rFonts w:ascii="Book Antiqua" w:hAnsi="Book Antiqua"/>
          <w:i/>
        </w:rPr>
        <w:t>Lloyds Bank defend</w:t>
      </w:r>
      <w:r w:rsidR="00C108B3">
        <w:rPr>
          <w:rFonts w:ascii="Book Antiqua" w:hAnsi="Book Antiqua"/>
          <w:i/>
        </w:rPr>
        <w:t>ed</w:t>
      </w:r>
      <w:r w:rsidR="00F447E6">
        <w:rPr>
          <w:rFonts w:ascii="Book Antiqua" w:hAnsi="Book Antiqua"/>
          <w:i/>
        </w:rPr>
        <w:t xml:space="preserve"> </w:t>
      </w:r>
      <w:r w:rsidR="00C108B3">
        <w:rPr>
          <w:rFonts w:ascii="Book Antiqua" w:hAnsi="Book Antiqua"/>
          <w:i/>
        </w:rPr>
        <w:t xml:space="preserve">selling </w:t>
      </w:r>
      <w:r w:rsidR="00F447E6">
        <w:rPr>
          <w:rFonts w:ascii="Book Antiqua" w:hAnsi="Book Antiqua"/>
          <w:i/>
        </w:rPr>
        <w:t xml:space="preserve">complex financial derivative products by alleging that </w:t>
      </w:r>
      <w:r w:rsidR="00EF2285">
        <w:rPr>
          <w:rFonts w:ascii="Book Antiqua" w:hAnsi="Book Antiqua"/>
          <w:i/>
        </w:rPr>
        <w:t xml:space="preserve">the </w:t>
      </w:r>
      <w:r w:rsidR="00F447E6">
        <w:rPr>
          <w:rFonts w:ascii="Book Antiqua" w:hAnsi="Book Antiqua"/>
          <w:i/>
        </w:rPr>
        <w:t>Coin Group already understood the risk of break costs</w:t>
      </w:r>
      <w:r w:rsidR="00C108B3">
        <w:rPr>
          <w:rFonts w:ascii="Book Antiqua" w:hAnsi="Book Antiqua"/>
          <w:i/>
        </w:rPr>
        <w:t xml:space="preserve"> because it had two structured collars from Yorkshire Bank</w:t>
      </w:r>
      <w:r w:rsidR="0086547D">
        <w:rPr>
          <w:rStyle w:val="FootnoteReference"/>
          <w:rFonts w:ascii="Book Antiqua" w:hAnsi="Book Antiqua"/>
          <w:i/>
        </w:rPr>
        <w:footnoteReference w:id="14"/>
      </w:r>
      <w:r w:rsidR="00C108B3">
        <w:rPr>
          <w:rFonts w:ascii="Book Antiqua" w:hAnsi="Book Antiqua"/>
          <w:i/>
        </w:rPr>
        <w:t>. Yorkshire Bank however describes these structured collars as</w:t>
      </w:r>
      <w:r w:rsidR="00F447E6">
        <w:rPr>
          <w:rFonts w:ascii="Book Antiqua" w:hAnsi="Book Antiqua"/>
          <w:i/>
        </w:rPr>
        <w:t xml:space="preserve"> ‘fixed rate loans’</w:t>
      </w:r>
      <w:r w:rsidR="00C108B3">
        <w:rPr>
          <w:rFonts w:ascii="Book Antiqua" w:hAnsi="Book Antiqua"/>
          <w:i/>
        </w:rPr>
        <w:t>.</w:t>
      </w:r>
      <w:r w:rsidR="00F447E6">
        <w:rPr>
          <w:rFonts w:ascii="Book Antiqua" w:hAnsi="Book Antiqua"/>
          <w:i/>
        </w:rPr>
        <w:t xml:space="preserve"> </w:t>
      </w:r>
      <w:r w:rsidR="00C108B3">
        <w:rPr>
          <w:rFonts w:ascii="Book Antiqua" w:hAnsi="Book Antiqua"/>
          <w:i/>
        </w:rPr>
        <w:t xml:space="preserve">Lloyds also sells fixed rate loans but routinely denies these are </w:t>
      </w:r>
      <w:r w:rsidR="00B45900">
        <w:rPr>
          <w:rFonts w:ascii="Book Antiqua" w:hAnsi="Book Antiqua"/>
          <w:i/>
        </w:rPr>
        <w:t>derivatives</w:t>
      </w:r>
      <w:r w:rsidR="00C108B3">
        <w:rPr>
          <w:rFonts w:ascii="Book Antiqua" w:hAnsi="Book Antiqua"/>
          <w:i/>
        </w:rPr>
        <w:t xml:space="preserve">, even though they </w:t>
      </w:r>
      <w:r w:rsidR="00F213E9">
        <w:rPr>
          <w:rFonts w:ascii="Book Antiqua" w:hAnsi="Book Antiqua"/>
          <w:i/>
        </w:rPr>
        <w:t xml:space="preserve">are </w:t>
      </w:r>
      <w:r w:rsidR="00B45900">
        <w:rPr>
          <w:rFonts w:ascii="Book Antiqua" w:hAnsi="Book Antiqua"/>
          <w:i/>
        </w:rPr>
        <w:t>similar</w:t>
      </w:r>
      <w:r w:rsidR="00F213E9">
        <w:rPr>
          <w:rFonts w:ascii="Book Antiqua" w:hAnsi="Book Antiqua"/>
          <w:i/>
        </w:rPr>
        <w:t xml:space="preserve"> to the </w:t>
      </w:r>
      <w:r w:rsidR="00C108B3">
        <w:rPr>
          <w:rFonts w:ascii="Book Antiqua" w:hAnsi="Book Antiqua"/>
          <w:i/>
        </w:rPr>
        <w:t xml:space="preserve">‘fixed rate loans’ sold by Yorkshire Bank. </w:t>
      </w:r>
      <w:r w:rsidR="00B45900">
        <w:rPr>
          <w:rFonts w:ascii="Book Antiqua" w:hAnsi="Book Antiqua"/>
          <w:i/>
        </w:rPr>
        <w:t>Lloyds and other major banks portray</w:t>
      </w:r>
      <w:r w:rsidR="00F213E9">
        <w:rPr>
          <w:rFonts w:ascii="Book Antiqua" w:hAnsi="Book Antiqua"/>
          <w:i/>
        </w:rPr>
        <w:t xml:space="preserve"> derivatives</w:t>
      </w:r>
      <w:r w:rsidR="00B45900">
        <w:rPr>
          <w:rFonts w:ascii="Book Antiqua" w:hAnsi="Book Antiqua"/>
          <w:i/>
        </w:rPr>
        <w:t xml:space="preserve"> as ‘fixed rate loans’ </w:t>
      </w:r>
      <w:r w:rsidR="00F213E9">
        <w:rPr>
          <w:rFonts w:ascii="Book Antiqua" w:hAnsi="Book Antiqua"/>
          <w:i/>
        </w:rPr>
        <w:t xml:space="preserve">to avoid </w:t>
      </w:r>
      <w:r w:rsidR="00B45900">
        <w:rPr>
          <w:rFonts w:ascii="Book Antiqua" w:hAnsi="Book Antiqua"/>
          <w:i/>
        </w:rPr>
        <w:t xml:space="preserve">regulation that </w:t>
      </w:r>
      <w:r w:rsidR="00F213E9">
        <w:rPr>
          <w:rFonts w:ascii="Book Antiqua" w:hAnsi="Book Antiqua"/>
          <w:i/>
        </w:rPr>
        <w:t>govern</w:t>
      </w:r>
      <w:r w:rsidR="00B45900">
        <w:rPr>
          <w:rFonts w:ascii="Book Antiqua" w:hAnsi="Book Antiqua"/>
          <w:i/>
        </w:rPr>
        <w:t>s</w:t>
      </w:r>
      <w:r w:rsidR="00F213E9">
        <w:rPr>
          <w:rFonts w:ascii="Book Antiqua" w:hAnsi="Book Antiqua"/>
          <w:i/>
        </w:rPr>
        <w:t xml:space="preserve"> the sale of </w:t>
      </w:r>
      <w:r w:rsidR="001E7FE6">
        <w:rPr>
          <w:rFonts w:ascii="Book Antiqua" w:hAnsi="Book Antiqua"/>
          <w:i/>
        </w:rPr>
        <w:t>derivatives</w:t>
      </w:r>
      <w:r w:rsidR="00B45900">
        <w:rPr>
          <w:rFonts w:ascii="Book Antiqua" w:hAnsi="Book Antiqua"/>
          <w:i/>
        </w:rPr>
        <w:t xml:space="preserve"> to customers</w:t>
      </w:r>
      <w:r w:rsidR="00F213E9">
        <w:rPr>
          <w:rFonts w:ascii="Book Antiqua" w:hAnsi="Book Antiqua"/>
          <w:i/>
        </w:rPr>
        <w:t xml:space="preserve">. </w:t>
      </w:r>
      <w:r w:rsidR="00B45900" w:rsidRPr="00B45900">
        <w:rPr>
          <w:rFonts w:ascii="Book Antiqua" w:hAnsi="Book Antiqua"/>
          <w:i/>
        </w:rPr>
        <w:t>Yorkshire Bank has since accepted that the Coin Group did not understand the risk of break costs involved with these structured collars and has agreed to pay compensation.</w:t>
      </w:r>
      <w:r w:rsidR="009A21D8">
        <w:rPr>
          <w:rFonts w:ascii="Book Antiqua" w:hAnsi="Book Antiqua"/>
          <w:i/>
        </w:rPr>
        <w:t xml:space="preserve"> Lloyd</w:t>
      </w:r>
      <w:r w:rsidR="00B45900">
        <w:rPr>
          <w:rFonts w:ascii="Book Antiqua" w:hAnsi="Book Antiqua"/>
          <w:i/>
        </w:rPr>
        <w:t>s</w:t>
      </w:r>
      <w:r w:rsidR="009A21D8">
        <w:rPr>
          <w:rFonts w:ascii="Book Antiqua" w:hAnsi="Book Antiqua"/>
          <w:i/>
        </w:rPr>
        <w:t>’</w:t>
      </w:r>
      <w:r w:rsidR="00B45900">
        <w:rPr>
          <w:rFonts w:ascii="Book Antiqua" w:hAnsi="Book Antiqua"/>
          <w:i/>
        </w:rPr>
        <w:t xml:space="preserve"> hypocrisy in </w:t>
      </w:r>
      <w:r w:rsidR="008D5182">
        <w:rPr>
          <w:rFonts w:ascii="Book Antiqua" w:hAnsi="Book Antiqua"/>
          <w:i/>
        </w:rPr>
        <w:t xml:space="preserve">attempting to </w:t>
      </w:r>
      <w:r w:rsidR="00B45900">
        <w:rPr>
          <w:rFonts w:ascii="Book Antiqua" w:hAnsi="Book Antiqua"/>
          <w:i/>
        </w:rPr>
        <w:t>us</w:t>
      </w:r>
      <w:r w:rsidR="008D5182">
        <w:rPr>
          <w:rFonts w:ascii="Book Antiqua" w:hAnsi="Book Antiqua"/>
          <w:i/>
        </w:rPr>
        <w:t>e</w:t>
      </w:r>
      <w:r w:rsidR="00B45900">
        <w:rPr>
          <w:rFonts w:ascii="Book Antiqua" w:hAnsi="Book Antiqua"/>
          <w:i/>
        </w:rPr>
        <w:t xml:space="preserve"> Yorkshire B</w:t>
      </w:r>
      <w:r w:rsidR="00F447E6">
        <w:rPr>
          <w:rFonts w:ascii="Book Antiqua" w:hAnsi="Book Antiqua"/>
          <w:i/>
        </w:rPr>
        <w:t xml:space="preserve">ank’s </w:t>
      </w:r>
      <w:r w:rsidR="00B45900">
        <w:rPr>
          <w:rFonts w:ascii="Book Antiqua" w:hAnsi="Book Antiqua"/>
          <w:i/>
        </w:rPr>
        <w:t xml:space="preserve">mis-selling </w:t>
      </w:r>
      <w:r w:rsidR="00F447E6">
        <w:rPr>
          <w:rFonts w:ascii="Book Antiqua" w:hAnsi="Book Antiqua"/>
          <w:i/>
        </w:rPr>
        <w:t xml:space="preserve">to </w:t>
      </w:r>
      <w:r w:rsidR="008D5182">
        <w:rPr>
          <w:rFonts w:ascii="Book Antiqua" w:hAnsi="Book Antiqua"/>
          <w:i/>
        </w:rPr>
        <w:t xml:space="preserve">defend and </w:t>
      </w:r>
      <w:r w:rsidR="00F447E6">
        <w:rPr>
          <w:rFonts w:ascii="Book Antiqua" w:hAnsi="Book Antiqua"/>
          <w:i/>
        </w:rPr>
        <w:t xml:space="preserve">justify its own </w:t>
      </w:r>
      <w:r w:rsidR="00B45900">
        <w:rPr>
          <w:rFonts w:ascii="Book Antiqua" w:hAnsi="Book Antiqua"/>
          <w:i/>
        </w:rPr>
        <w:t xml:space="preserve">poor </w:t>
      </w:r>
      <w:r w:rsidR="00F447E6">
        <w:rPr>
          <w:rFonts w:ascii="Book Antiqua" w:hAnsi="Book Antiqua"/>
          <w:i/>
        </w:rPr>
        <w:t xml:space="preserve">sales conduct was </w:t>
      </w:r>
      <w:r w:rsidR="001E7FE6">
        <w:rPr>
          <w:rFonts w:ascii="Book Antiqua" w:hAnsi="Book Antiqua"/>
          <w:i/>
        </w:rPr>
        <w:t xml:space="preserve">therefore </w:t>
      </w:r>
      <w:r w:rsidR="00F447E6">
        <w:rPr>
          <w:rFonts w:ascii="Book Antiqua" w:hAnsi="Book Antiqua"/>
          <w:i/>
        </w:rPr>
        <w:t xml:space="preserve">unsuccessful. </w:t>
      </w:r>
      <w:r w:rsidR="00F213E9">
        <w:rPr>
          <w:rFonts w:ascii="Book Antiqua" w:hAnsi="Book Antiqua"/>
          <w:i/>
        </w:rPr>
        <w:t xml:space="preserve">This demonstrates the </w:t>
      </w:r>
      <w:r w:rsidR="008D5182">
        <w:rPr>
          <w:rFonts w:ascii="Book Antiqua" w:hAnsi="Book Antiqua"/>
          <w:i/>
        </w:rPr>
        <w:t>weakness in regulatory scrutiny of banks which the FCA themselves complained to the Treasury about in November 2013</w:t>
      </w:r>
      <w:r w:rsidR="008D5182">
        <w:rPr>
          <w:rStyle w:val="FootnoteReference"/>
          <w:rFonts w:ascii="Book Antiqua" w:hAnsi="Book Antiqua"/>
          <w:i/>
        </w:rPr>
        <w:footnoteReference w:id="15"/>
      </w:r>
      <w:r w:rsidR="008D5182">
        <w:rPr>
          <w:rFonts w:ascii="Book Antiqua" w:hAnsi="Book Antiqua"/>
          <w:i/>
        </w:rPr>
        <w:t>.”</w:t>
      </w:r>
    </w:p>
    <w:p w:rsidR="000824F3" w:rsidRDefault="00D22819" w:rsidP="00D22819">
      <w:pPr>
        <w:spacing w:line="240" w:lineRule="auto"/>
        <w:ind w:right="-46"/>
        <w:jc w:val="both"/>
        <w:rPr>
          <w:rFonts w:ascii="Book Antiqua" w:hAnsi="Book Antiqua"/>
        </w:rPr>
      </w:pPr>
      <w:r w:rsidRPr="00D22819">
        <w:rPr>
          <w:rFonts w:ascii="Book Antiqua" w:hAnsi="Book Antiqua"/>
        </w:rPr>
        <w:t xml:space="preserve">The Coin Group’s </w:t>
      </w:r>
      <w:r>
        <w:rPr>
          <w:rFonts w:ascii="Book Antiqua" w:hAnsi="Book Antiqua"/>
        </w:rPr>
        <w:t>derivatives expert</w:t>
      </w:r>
      <w:r w:rsidRPr="00D22819">
        <w:rPr>
          <w:rFonts w:ascii="Book Antiqua" w:hAnsi="Book Antiqua"/>
        </w:rPr>
        <w:t>,</w:t>
      </w:r>
      <w:r w:rsidR="007B7424">
        <w:rPr>
          <w:rFonts w:ascii="Book Antiqua" w:hAnsi="Book Antiqua"/>
        </w:rPr>
        <w:t xml:space="preserve"> Mr</w:t>
      </w:r>
      <w:r w:rsidRPr="00D22819">
        <w:rPr>
          <w:rFonts w:ascii="Book Antiqua" w:hAnsi="Book Antiqua"/>
        </w:rPr>
        <w:t xml:space="preserve"> </w:t>
      </w:r>
      <w:hyperlink r:id="rId12" w:anchor="abishek" w:history="1">
        <w:r w:rsidR="007B7424">
          <w:rPr>
            <w:rStyle w:val="Hyperlink"/>
            <w:rFonts w:ascii="Book Antiqua" w:hAnsi="Book Antiqua"/>
          </w:rPr>
          <w:t xml:space="preserve">Abhishek </w:t>
        </w:r>
        <w:proofErr w:type="spellStart"/>
        <w:r w:rsidR="007B7424">
          <w:rPr>
            <w:rStyle w:val="Hyperlink"/>
            <w:rFonts w:ascii="Book Antiqua" w:hAnsi="Book Antiqua"/>
          </w:rPr>
          <w:t>Sachdev</w:t>
        </w:r>
        <w:proofErr w:type="spellEnd"/>
      </w:hyperlink>
      <w:r w:rsidRPr="00D22819">
        <w:rPr>
          <w:rFonts w:ascii="Book Antiqua" w:hAnsi="Book Antiqua"/>
        </w:rPr>
        <w:t>, of</w:t>
      </w:r>
      <w:r w:rsidR="008F2139">
        <w:rPr>
          <w:rFonts w:ascii="Book Antiqua" w:hAnsi="Book Antiqua"/>
        </w:rPr>
        <w:t xml:space="preserve"> </w:t>
      </w:r>
      <w:r w:rsidR="00833957">
        <w:rPr>
          <w:rFonts w:ascii="Book Antiqua" w:hAnsi="Book Antiqua"/>
        </w:rPr>
        <w:t>FCA-</w:t>
      </w:r>
      <w:r w:rsidR="001E7FE6">
        <w:rPr>
          <w:rFonts w:ascii="Book Antiqua" w:hAnsi="Book Antiqua"/>
        </w:rPr>
        <w:t>a</w:t>
      </w:r>
      <w:r w:rsidR="00195D9E">
        <w:rPr>
          <w:rFonts w:ascii="Book Antiqua" w:hAnsi="Book Antiqua"/>
        </w:rPr>
        <w:t xml:space="preserve">uthorised </w:t>
      </w:r>
      <w:r w:rsidR="008F2139" w:rsidRPr="008F2139">
        <w:rPr>
          <w:rFonts w:ascii="Book Antiqua" w:hAnsi="Book Antiqua"/>
        </w:rPr>
        <w:t>financial risk management consultancy</w:t>
      </w:r>
      <w:r w:rsidR="00987F25">
        <w:rPr>
          <w:rFonts w:ascii="Book Antiqua" w:hAnsi="Book Antiqua"/>
        </w:rPr>
        <w:t xml:space="preserve"> </w:t>
      </w:r>
      <w:hyperlink r:id="rId13" w:history="1">
        <w:r w:rsidRPr="007B7424">
          <w:rPr>
            <w:rStyle w:val="Hyperlink"/>
            <w:rFonts w:ascii="Book Antiqua" w:hAnsi="Book Antiqua"/>
          </w:rPr>
          <w:t>Vedanta Hedging</w:t>
        </w:r>
      </w:hyperlink>
      <w:r>
        <w:rPr>
          <w:rFonts w:ascii="Book Antiqua" w:hAnsi="Book Antiqua"/>
        </w:rPr>
        <w:t xml:space="preserve"> </w:t>
      </w:r>
      <w:r w:rsidRPr="00D22819">
        <w:rPr>
          <w:rFonts w:ascii="Book Antiqua" w:hAnsi="Book Antiqua"/>
        </w:rPr>
        <w:t>stated:</w:t>
      </w:r>
    </w:p>
    <w:p w:rsidR="00D22819" w:rsidRPr="00D22819" w:rsidRDefault="00D22819" w:rsidP="00515E0C">
      <w:pPr>
        <w:spacing w:line="240" w:lineRule="auto"/>
        <w:ind w:left="426" w:right="521"/>
        <w:jc w:val="both"/>
        <w:rPr>
          <w:rFonts w:ascii="Book Antiqua" w:hAnsi="Book Antiqua"/>
          <w:i/>
        </w:rPr>
      </w:pPr>
      <w:r>
        <w:rPr>
          <w:rFonts w:ascii="Book Antiqua" w:hAnsi="Book Antiqua"/>
          <w:i/>
        </w:rPr>
        <w:t xml:space="preserve"> </w:t>
      </w:r>
      <w:r w:rsidRPr="00D22819">
        <w:rPr>
          <w:rFonts w:ascii="Book Antiqua" w:hAnsi="Book Antiqua"/>
          <w:i/>
        </w:rPr>
        <w:t>“</w:t>
      </w:r>
      <w:r>
        <w:rPr>
          <w:rFonts w:ascii="Book Antiqua" w:hAnsi="Book Antiqua"/>
          <w:i/>
        </w:rPr>
        <w:t xml:space="preserve">The derivatives sold to this care home were </w:t>
      </w:r>
      <w:r w:rsidR="008F2139">
        <w:rPr>
          <w:rFonts w:ascii="Book Antiqua" w:hAnsi="Book Antiqua"/>
          <w:i/>
        </w:rPr>
        <w:t>highly</w:t>
      </w:r>
      <w:r>
        <w:rPr>
          <w:rFonts w:ascii="Book Antiqua" w:hAnsi="Book Antiqua"/>
          <w:i/>
        </w:rPr>
        <w:t xml:space="preserve"> complex and one</w:t>
      </w:r>
      <w:r w:rsidR="00C277A8">
        <w:rPr>
          <w:rFonts w:ascii="Book Antiqua" w:hAnsi="Book Antiqua"/>
          <w:i/>
        </w:rPr>
        <w:t>-</w:t>
      </w:r>
      <w:r>
        <w:rPr>
          <w:rFonts w:ascii="Book Antiqua" w:hAnsi="Book Antiqua"/>
          <w:i/>
        </w:rPr>
        <w:t>sided.</w:t>
      </w:r>
      <w:r w:rsidR="004D05C9">
        <w:rPr>
          <w:rFonts w:ascii="Book Antiqua" w:hAnsi="Book Antiqua"/>
          <w:i/>
        </w:rPr>
        <w:t xml:space="preserve"> Whether interest rates rose, or fell, the callable swap was ‘hard-wired’ to work against the best interests of the Coin Group.</w:t>
      </w:r>
      <w:r w:rsidR="00342BA8">
        <w:rPr>
          <w:rFonts w:ascii="Book Antiqua" w:hAnsi="Book Antiqua"/>
          <w:i/>
        </w:rPr>
        <w:t xml:space="preserve"> </w:t>
      </w:r>
      <w:r w:rsidR="00C277A8">
        <w:rPr>
          <w:rFonts w:ascii="Book Antiqua" w:hAnsi="Book Antiqua"/>
          <w:i/>
        </w:rPr>
        <w:t xml:space="preserve">Furthermore, </w:t>
      </w:r>
      <w:r w:rsidR="009A21D8">
        <w:rPr>
          <w:rFonts w:ascii="Book Antiqua" w:hAnsi="Book Antiqua"/>
          <w:i/>
        </w:rPr>
        <w:t>Lloyds</w:t>
      </w:r>
      <w:r w:rsidR="00C277A8">
        <w:rPr>
          <w:rFonts w:ascii="Book Antiqua" w:hAnsi="Book Antiqua"/>
          <w:i/>
        </w:rPr>
        <w:t xml:space="preserve"> restructured already complex derivatives</w:t>
      </w:r>
      <w:r w:rsidR="00195D9E">
        <w:rPr>
          <w:rStyle w:val="FootnoteReference"/>
          <w:rFonts w:ascii="Book Antiqua" w:hAnsi="Book Antiqua"/>
          <w:i/>
        </w:rPr>
        <w:footnoteReference w:id="16"/>
      </w:r>
      <w:r w:rsidR="00C277A8">
        <w:rPr>
          <w:rFonts w:ascii="Book Antiqua" w:hAnsi="Book Antiqua"/>
          <w:i/>
        </w:rPr>
        <w:t xml:space="preserve"> into even longer-term structures, for no apparent risk management reason. Mr Bland was not told that</w:t>
      </w:r>
      <w:r w:rsidR="009A21D8">
        <w:rPr>
          <w:rFonts w:ascii="Book Antiqua" w:hAnsi="Book Antiqua"/>
          <w:i/>
        </w:rPr>
        <w:t>,</w:t>
      </w:r>
      <w:r w:rsidR="00C277A8">
        <w:rPr>
          <w:rFonts w:ascii="Book Antiqua" w:hAnsi="Book Antiqua"/>
          <w:i/>
        </w:rPr>
        <w:t xml:space="preserve"> even at the time of this restructure in 2008, breakage costs</w:t>
      </w:r>
      <w:r w:rsidR="00880400">
        <w:rPr>
          <w:rFonts w:ascii="Book Antiqua" w:hAnsi="Book Antiqua"/>
          <w:i/>
        </w:rPr>
        <w:t xml:space="preserve"> for the existing derivatives</w:t>
      </w:r>
      <w:r w:rsidR="00C277A8">
        <w:rPr>
          <w:rFonts w:ascii="Book Antiqua" w:hAnsi="Book Antiqua"/>
          <w:i/>
        </w:rPr>
        <w:t xml:space="preserve"> were </w:t>
      </w:r>
      <w:r w:rsidR="00880400">
        <w:rPr>
          <w:rFonts w:ascii="Book Antiqua" w:hAnsi="Book Antiqua"/>
          <w:i/>
        </w:rPr>
        <w:t xml:space="preserve">already </w:t>
      </w:r>
      <w:r w:rsidR="009A21D8">
        <w:rPr>
          <w:rFonts w:ascii="Book Antiqua" w:hAnsi="Book Antiqua"/>
          <w:i/>
        </w:rPr>
        <w:t>around</w:t>
      </w:r>
      <w:r w:rsidR="00EF2285">
        <w:rPr>
          <w:rFonts w:ascii="Book Antiqua" w:hAnsi="Book Antiqua"/>
          <w:i/>
        </w:rPr>
        <w:t xml:space="preserve"> </w:t>
      </w:r>
      <w:r w:rsidR="00880400">
        <w:rPr>
          <w:rFonts w:ascii="Book Antiqua" w:hAnsi="Book Antiqua"/>
          <w:i/>
        </w:rPr>
        <w:t>£800</w:t>
      </w:r>
      <w:r w:rsidR="00EF2285">
        <w:rPr>
          <w:rFonts w:ascii="Book Antiqua" w:hAnsi="Book Antiqua"/>
          <w:i/>
        </w:rPr>
        <w:t>,000</w:t>
      </w:r>
      <w:r w:rsidR="00880400">
        <w:rPr>
          <w:rFonts w:ascii="Book Antiqua" w:hAnsi="Book Antiqua"/>
          <w:i/>
        </w:rPr>
        <w:t xml:space="preserve"> before the much larger 30-year callable swap was </w:t>
      </w:r>
      <w:r w:rsidR="00EF2285">
        <w:rPr>
          <w:rFonts w:ascii="Book Antiqua" w:hAnsi="Book Antiqua"/>
          <w:i/>
        </w:rPr>
        <w:t>sold</w:t>
      </w:r>
      <w:r w:rsidR="00880400">
        <w:rPr>
          <w:rFonts w:ascii="Book Antiqua" w:hAnsi="Book Antiqua"/>
          <w:i/>
        </w:rPr>
        <w:t>.</w:t>
      </w:r>
      <w:r w:rsidR="00C277A8">
        <w:rPr>
          <w:rFonts w:ascii="Book Antiqua" w:hAnsi="Book Antiqua"/>
          <w:i/>
        </w:rPr>
        <w:t xml:space="preserve"> </w:t>
      </w:r>
      <w:r w:rsidR="00880400">
        <w:rPr>
          <w:rFonts w:ascii="Book Antiqua" w:hAnsi="Book Antiqua"/>
          <w:i/>
        </w:rPr>
        <w:t xml:space="preserve">The callable swap did not provide long-term protection and was a speculative derivative rather than a hedging transaction. </w:t>
      </w:r>
      <w:r w:rsidR="009A21D8">
        <w:rPr>
          <w:rFonts w:ascii="Book Antiqua" w:hAnsi="Book Antiqua"/>
          <w:i/>
        </w:rPr>
        <w:t>Lloyds</w:t>
      </w:r>
      <w:r w:rsidR="00880400">
        <w:rPr>
          <w:rFonts w:ascii="Book Antiqua" w:hAnsi="Book Antiqua"/>
          <w:i/>
        </w:rPr>
        <w:t xml:space="preserve"> also </w:t>
      </w:r>
      <w:r w:rsidR="00A7612C">
        <w:rPr>
          <w:rFonts w:ascii="Book Antiqua" w:hAnsi="Book Antiqua"/>
          <w:i/>
        </w:rPr>
        <w:t>significantly</w:t>
      </w:r>
      <w:r w:rsidR="009A21D8">
        <w:rPr>
          <w:rFonts w:ascii="Book Antiqua" w:hAnsi="Book Antiqua"/>
          <w:i/>
        </w:rPr>
        <w:t xml:space="preserve"> over-hedged the customer</w:t>
      </w:r>
      <w:r w:rsidR="00880400">
        <w:rPr>
          <w:rFonts w:ascii="Book Antiqua" w:hAnsi="Book Antiqua"/>
          <w:i/>
        </w:rPr>
        <w:t xml:space="preserve"> </w:t>
      </w:r>
      <w:r w:rsidR="00A7612C">
        <w:rPr>
          <w:rFonts w:ascii="Book Antiqua" w:hAnsi="Book Antiqua"/>
          <w:i/>
        </w:rPr>
        <w:t>in terms of amount and</w:t>
      </w:r>
      <w:r w:rsidR="009A21D8">
        <w:rPr>
          <w:rFonts w:ascii="Book Antiqua" w:hAnsi="Book Antiqua"/>
          <w:i/>
        </w:rPr>
        <w:t xml:space="preserve"> duration</w:t>
      </w:r>
      <w:r w:rsidR="00A7612C">
        <w:rPr>
          <w:rFonts w:ascii="Book Antiqua" w:hAnsi="Book Antiqua"/>
          <w:i/>
        </w:rPr>
        <w:t xml:space="preserve"> </w:t>
      </w:r>
      <w:r w:rsidR="00880400">
        <w:rPr>
          <w:rFonts w:ascii="Book Antiqua" w:hAnsi="Book Antiqua"/>
          <w:i/>
        </w:rPr>
        <w:t>because</w:t>
      </w:r>
      <w:r w:rsidR="009A21D8">
        <w:rPr>
          <w:rFonts w:ascii="Book Antiqua" w:hAnsi="Book Antiqua"/>
          <w:i/>
        </w:rPr>
        <w:t>,</w:t>
      </w:r>
      <w:r w:rsidR="00880400">
        <w:rPr>
          <w:rFonts w:ascii="Book Antiqua" w:hAnsi="Book Antiqua"/>
          <w:i/>
        </w:rPr>
        <w:t xml:space="preserve"> at the time of the 30-year </w:t>
      </w:r>
      <w:r w:rsidR="00EF2285">
        <w:rPr>
          <w:rFonts w:ascii="Book Antiqua" w:hAnsi="Book Antiqua"/>
          <w:i/>
        </w:rPr>
        <w:t xml:space="preserve">callable </w:t>
      </w:r>
      <w:r w:rsidR="009A21D8">
        <w:rPr>
          <w:rFonts w:ascii="Book Antiqua" w:hAnsi="Book Antiqua"/>
          <w:i/>
        </w:rPr>
        <w:t>swap commitment,</w:t>
      </w:r>
      <w:r w:rsidR="00880400">
        <w:rPr>
          <w:rFonts w:ascii="Book Antiqua" w:hAnsi="Book Antiqua"/>
          <w:i/>
        </w:rPr>
        <w:t xml:space="preserve"> the Bank had only committed to provide debt for c</w:t>
      </w:r>
      <w:r w:rsidR="00412A44">
        <w:rPr>
          <w:rFonts w:ascii="Book Antiqua" w:hAnsi="Book Antiqua"/>
          <w:i/>
        </w:rPr>
        <w:t xml:space="preserve">irca </w:t>
      </w:r>
      <w:r w:rsidR="00880400">
        <w:rPr>
          <w:rFonts w:ascii="Book Antiqua" w:hAnsi="Book Antiqua"/>
          <w:i/>
        </w:rPr>
        <w:t>4</w:t>
      </w:r>
      <w:r w:rsidR="00F213E9">
        <w:rPr>
          <w:rFonts w:ascii="Book Antiqua" w:hAnsi="Book Antiqua"/>
          <w:i/>
        </w:rPr>
        <w:t xml:space="preserve"> </w:t>
      </w:r>
      <w:r w:rsidR="00880400">
        <w:rPr>
          <w:rFonts w:ascii="Book Antiqua" w:hAnsi="Book Antiqua"/>
          <w:i/>
        </w:rPr>
        <w:t>years.</w:t>
      </w:r>
      <w:r w:rsidR="00C277A8">
        <w:rPr>
          <w:rFonts w:ascii="Book Antiqua" w:hAnsi="Book Antiqua"/>
          <w:i/>
        </w:rPr>
        <w:t xml:space="preserve"> </w:t>
      </w:r>
      <w:r w:rsidR="009A21D8">
        <w:rPr>
          <w:rFonts w:ascii="Book Antiqua" w:hAnsi="Book Antiqua"/>
          <w:i/>
        </w:rPr>
        <w:t>Lloyds</w:t>
      </w:r>
      <w:r w:rsidR="00880400">
        <w:rPr>
          <w:rFonts w:ascii="Book Antiqua" w:hAnsi="Book Antiqua"/>
          <w:i/>
        </w:rPr>
        <w:t xml:space="preserve"> also failed to disclose the material contingent </w:t>
      </w:r>
      <w:r w:rsidR="0038671E">
        <w:rPr>
          <w:rFonts w:ascii="Book Antiqua" w:hAnsi="Book Antiqua"/>
          <w:i/>
        </w:rPr>
        <w:t>liabilities</w:t>
      </w:r>
      <w:r w:rsidR="00880400">
        <w:rPr>
          <w:rFonts w:ascii="Book Antiqua" w:hAnsi="Book Antiqua"/>
          <w:i/>
        </w:rPr>
        <w:t xml:space="preserve"> which </w:t>
      </w:r>
      <w:r w:rsidR="004C67F4">
        <w:rPr>
          <w:rFonts w:ascii="Book Antiqua" w:hAnsi="Book Antiqua"/>
          <w:i/>
        </w:rPr>
        <w:t>w</w:t>
      </w:r>
      <w:r w:rsidR="00203768">
        <w:rPr>
          <w:rFonts w:ascii="Book Antiqua" w:hAnsi="Book Antiqua"/>
          <w:i/>
        </w:rPr>
        <w:t>ere</w:t>
      </w:r>
      <w:r w:rsidR="00880400">
        <w:rPr>
          <w:rFonts w:ascii="Book Antiqua" w:hAnsi="Book Antiqua"/>
          <w:i/>
        </w:rPr>
        <w:t xml:space="preserve"> c</w:t>
      </w:r>
      <w:r w:rsidR="00412A44">
        <w:rPr>
          <w:rFonts w:ascii="Book Antiqua" w:hAnsi="Book Antiqua"/>
          <w:i/>
        </w:rPr>
        <w:t xml:space="preserve">irca </w:t>
      </w:r>
      <w:r w:rsidR="00880400">
        <w:rPr>
          <w:rFonts w:ascii="Book Antiqua" w:hAnsi="Book Antiqua"/>
          <w:i/>
        </w:rPr>
        <w:t>£2.5</w:t>
      </w:r>
      <w:r w:rsidR="00EF2285">
        <w:rPr>
          <w:rFonts w:ascii="Book Antiqua" w:hAnsi="Book Antiqua"/>
          <w:i/>
        </w:rPr>
        <w:t xml:space="preserve"> </w:t>
      </w:r>
      <w:r w:rsidR="00880400">
        <w:rPr>
          <w:rFonts w:ascii="Book Antiqua" w:hAnsi="Book Antiqua"/>
          <w:i/>
        </w:rPr>
        <w:lastRenderedPageBreak/>
        <w:t>m</w:t>
      </w:r>
      <w:r w:rsidR="00EF2285">
        <w:rPr>
          <w:rFonts w:ascii="Book Antiqua" w:hAnsi="Book Antiqua"/>
          <w:i/>
        </w:rPr>
        <w:t>illion</w:t>
      </w:r>
      <w:r w:rsidR="00880400">
        <w:rPr>
          <w:rFonts w:ascii="Book Antiqua" w:hAnsi="Book Antiqua"/>
          <w:i/>
        </w:rPr>
        <w:t xml:space="preserve"> at the time of entering into the 30-year callable swap. This contingent liability had a negative impact </w:t>
      </w:r>
      <w:r w:rsidR="006C41F1">
        <w:rPr>
          <w:rFonts w:ascii="Book Antiqua" w:hAnsi="Book Antiqua"/>
          <w:i/>
        </w:rPr>
        <w:t xml:space="preserve">on the credit worthiness of the Coin Group </w:t>
      </w:r>
      <w:r w:rsidR="00880400">
        <w:rPr>
          <w:rFonts w:ascii="Book Antiqua" w:hAnsi="Book Antiqua"/>
          <w:i/>
        </w:rPr>
        <w:t>(</w:t>
      </w:r>
      <w:r w:rsidR="00195D9E">
        <w:rPr>
          <w:rFonts w:ascii="Book Antiqua" w:hAnsi="Book Antiqua"/>
          <w:i/>
        </w:rPr>
        <w:t>similar to</w:t>
      </w:r>
      <w:r w:rsidR="00880400">
        <w:rPr>
          <w:rFonts w:ascii="Book Antiqua" w:hAnsi="Book Antiqua"/>
          <w:i/>
        </w:rPr>
        <w:t xml:space="preserve"> an extra loan or overdraft) but this was never explained to the client.</w:t>
      </w:r>
      <w:r w:rsidR="0038671E">
        <w:rPr>
          <w:rFonts w:ascii="Book Antiqua" w:hAnsi="Book Antiqua"/>
          <w:i/>
        </w:rPr>
        <w:t xml:space="preserve"> </w:t>
      </w:r>
      <w:r w:rsidR="009A21D8">
        <w:rPr>
          <w:rFonts w:ascii="Book Antiqua" w:hAnsi="Book Antiqua"/>
          <w:i/>
        </w:rPr>
        <w:t>Lloyds</w:t>
      </w:r>
      <w:r w:rsidR="0038671E">
        <w:rPr>
          <w:rFonts w:ascii="Book Antiqua" w:hAnsi="Book Antiqua"/>
          <w:i/>
        </w:rPr>
        <w:t xml:space="preserve"> generated over £400</w:t>
      </w:r>
      <w:r w:rsidR="00EF2285">
        <w:rPr>
          <w:rFonts w:ascii="Book Antiqua" w:hAnsi="Book Antiqua"/>
          <w:i/>
        </w:rPr>
        <w:t>,000</w:t>
      </w:r>
      <w:r w:rsidR="0038671E">
        <w:rPr>
          <w:rFonts w:ascii="Book Antiqua" w:hAnsi="Book Antiqua"/>
          <w:i/>
        </w:rPr>
        <w:t xml:space="preserve"> in upfront trading income from the sale of all o</w:t>
      </w:r>
      <w:r w:rsidR="006C41F1">
        <w:rPr>
          <w:rFonts w:ascii="Book Antiqua" w:hAnsi="Book Antiqua"/>
          <w:i/>
        </w:rPr>
        <w:t>f the derivatives to the Coin Group.</w:t>
      </w:r>
      <w:r w:rsidR="00412A44">
        <w:rPr>
          <w:rFonts w:ascii="Book Antiqua" w:hAnsi="Book Antiqua"/>
          <w:i/>
        </w:rPr>
        <w:t>”</w:t>
      </w:r>
    </w:p>
    <w:p w:rsidR="00D63FF0" w:rsidRPr="00E929FF" w:rsidRDefault="00E929FF" w:rsidP="00515E0C">
      <w:pPr>
        <w:spacing w:line="240" w:lineRule="auto"/>
        <w:jc w:val="both"/>
        <w:rPr>
          <w:rFonts w:ascii="Book Antiqua" w:hAnsi="Book Antiqua"/>
          <w:b/>
        </w:rPr>
      </w:pPr>
      <w:r w:rsidRPr="00E929FF">
        <w:rPr>
          <w:rFonts w:ascii="Book Antiqua" w:hAnsi="Book Antiqua"/>
          <w:b/>
        </w:rPr>
        <w:t>Notes for editors:</w:t>
      </w:r>
    </w:p>
    <w:p w:rsidR="00A41FDA" w:rsidRPr="00A41FDA" w:rsidRDefault="00A41FDA" w:rsidP="00515E0C">
      <w:pPr>
        <w:pStyle w:val="ListParagraph"/>
        <w:numPr>
          <w:ilvl w:val="0"/>
          <w:numId w:val="5"/>
        </w:numPr>
        <w:spacing w:line="240" w:lineRule="auto"/>
        <w:rPr>
          <w:rFonts w:ascii="Book Antiqua" w:hAnsi="Book Antiqua"/>
        </w:rPr>
      </w:pPr>
      <w:r w:rsidRPr="00A41FDA">
        <w:rPr>
          <w:rFonts w:ascii="Book Antiqua" w:hAnsi="Book Antiqua"/>
        </w:rPr>
        <w:t xml:space="preserve">Lloyds sold complex </w:t>
      </w:r>
      <w:r w:rsidR="004C67F4">
        <w:rPr>
          <w:rFonts w:ascii="Book Antiqua" w:hAnsi="Book Antiqua"/>
        </w:rPr>
        <w:t>callable</w:t>
      </w:r>
      <w:r w:rsidRPr="00A41FDA">
        <w:rPr>
          <w:rFonts w:ascii="Book Antiqua" w:hAnsi="Book Antiqua"/>
        </w:rPr>
        <w:t xml:space="preserve"> swaps (</w:t>
      </w:r>
      <w:r w:rsidRPr="00A41FDA">
        <w:rPr>
          <w:rFonts w:ascii="Book Antiqua" w:hAnsi="Book Antiqua"/>
          <w:i/>
        </w:rPr>
        <w:t>‘heads I win, tails you lose’</w:t>
      </w:r>
      <w:r w:rsidRPr="00A41FDA">
        <w:rPr>
          <w:rFonts w:ascii="Book Antiqua" w:hAnsi="Book Antiqua"/>
        </w:rPr>
        <w:t xml:space="preserve">) that were speculative ‘gambling’ </w:t>
      </w:r>
      <w:r w:rsidR="002217A0">
        <w:rPr>
          <w:rFonts w:ascii="Book Antiqua" w:hAnsi="Book Antiqua"/>
        </w:rPr>
        <w:t>to benefit the bank rather than hedging to benefit the customer.</w:t>
      </w:r>
    </w:p>
    <w:p w:rsidR="00A41FDA" w:rsidRDefault="00A41FDA" w:rsidP="00515E0C">
      <w:pPr>
        <w:pStyle w:val="ListParagraph"/>
        <w:numPr>
          <w:ilvl w:val="0"/>
          <w:numId w:val="5"/>
        </w:numPr>
        <w:spacing w:line="240" w:lineRule="auto"/>
        <w:rPr>
          <w:rFonts w:ascii="Book Antiqua" w:hAnsi="Book Antiqua"/>
        </w:rPr>
      </w:pPr>
      <w:r w:rsidRPr="00A41FDA">
        <w:rPr>
          <w:rFonts w:ascii="Book Antiqua" w:hAnsi="Book Antiqua"/>
        </w:rPr>
        <w:t xml:space="preserve">Lloyds failed to disclose </w:t>
      </w:r>
      <w:r w:rsidR="00A2568D">
        <w:rPr>
          <w:rFonts w:ascii="Book Antiqua" w:hAnsi="Book Antiqua"/>
        </w:rPr>
        <w:t xml:space="preserve">the </w:t>
      </w:r>
      <w:r w:rsidR="0086547D">
        <w:rPr>
          <w:rFonts w:ascii="Book Antiqua" w:hAnsi="Book Antiqua"/>
        </w:rPr>
        <w:t>break costs</w:t>
      </w:r>
      <w:r w:rsidRPr="00A41FDA">
        <w:rPr>
          <w:rFonts w:ascii="Book Antiqua" w:hAnsi="Book Antiqua"/>
        </w:rPr>
        <w:t xml:space="preserve"> of £</w:t>
      </w:r>
      <w:r w:rsidR="0086547D">
        <w:rPr>
          <w:rFonts w:ascii="Book Antiqua" w:hAnsi="Book Antiqua"/>
        </w:rPr>
        <w:t>800,000</w:t>
      </w:r>
      <w:r w:rsidR="00A2568D">
        <w:rPr>
          <w:rFonts w:ascii="Book Antiqua" w:hAnsi="Book Antiqua"/>
        </w:rPr>
        <w:t xml:space="preserve"> from the first two derivatives</w:t>
      </w:r>
      <w:r w:rsidR="0086547D">
        <w:rPr>
          <w:rFonts w:ascii="Book Antiqua" w:hAnsi="Book Antiqua"/>
        </w:rPr>
        <w:t xml:space="preserve"> to the customer </w:t>
      </w:r>
      <w:r w:rsidRPr="00A41FDA">
        <w:rPr>
          <w:rFonts w:ascii="Book Antiqua" w:hAnsi="Book Antiqua"/>
        </w:rPr>
        <w:t>before selling the third derivative.</w:t>
      </w:r>
    </w:p>
    <w:p w:rsidR="001014C0" w:rsidRPr="00A41FDA" w:rsidRDefault="001014C0" w:rsidP="00515E0C">
      <w:pPr>
        <w:pStyle w:val="ListParagraph"/>
        <w:numPr>
          <w:ilvl w:val="0"/>
          <w:numId w:val="5"/>
        </w:numPr>
        <w:spacing w:line="240" w:lineRule="auto"/>
        <w:rPr>
          <w:rFonts w:ascii="Book Antiqua" w:hAnsi="Book Antiqua"/>
        </w:rPr>
      </w:pPr>
      <w:r>
        <w:rPr>
          <w:rFonts w:ascii="Book Antiqua" w:hAnsi="Book Antiqua"/>
        </w:rPr>
        <w:t>Lloyds failed to disclose the contingent liabilities (estimated break costs) of £2.5 million before selling third derivative to customer.</w:t>
      </w:r>
    </w:p>
    <w:p w:rsidR="00A41FDA" w:rsidRPr="00A41FDA" w:rsidRDefault="00A41FDA" w:rsidP="00515E0C">
      <w:pPr>
        <w:pStyle w:val="ListParagraph"/>
        <w:numPr>
          <w:ilvl w:val="0"/>
          <w:numId w:val="5"/>
        </w:numPr>
        <w:spacing w:line="240" w:lineRule="auto"/>
        <w:rPr>
          <w:rFonts w:ascii="Book Antiqua" w:hAnsi="Book Antiqua"/>
        </w:rPr>
      </w:pPr>
      <w:r w:rsidRPr="00A41FDA">
        <w:rPr>
          <w:rFonts w:ascii="Book Antiqua" w:hAnsi="Book Antiqua"/>
        </w:rPr>
        <w:t xml:space="preserve">Lloyds massively over-hedged </w:t>
      </w:r>
      <w:r w:rsidR="00FC23EB">
        <w:rPr>
          <w:rFonts w:ascii="Book Antiqua" w:hAnsi="Book Antiqua"/>
        </w:rPr>
        <w:t>the customer (30-year callable swap vs.</w:t>
      </w:r>
      <w:r w:rsidRPr="00A41FDA">
        <w:rPr>
          <w:rFonts w:ascii="Book Antiqua" w:hAnsi="Book Antiqua"/>
        </w:rPr>
        <w:t xml:space="preserve"> 4-year loan</w:t>
      </w:r>
      <w:r w:rsidR="00FC23EB">
        <w:rPr>
          <w:rFonts w:ascii="Book Antiqua" w:hAnsi="Book Antiqua"/>
        </w:rPr>
        <w:t>)</w:t>
      </w:r>
      <w:r w:rsidRPr="00A41FDA">
        <w:rPr>
          <w:rFonts w:ascii="Book Antiqua" w:hAnsi="Book Antiqua"/>
        </w:rPr>
        <w:t>.</w:t>
      </w:r>
    </w:p>
    <w:p w:rsidR="00A41FDA" w:rsidRPr="00A41FDA" w:rsidRDefault="00A41FDA" w:rsidP="00515E0C">
      <w:pPr>
        <w:pStyle w:val="ListParagraph"/>
        <w:numPr>
          <w:ilvl w:val="0"/>
          <w:numId w:val="5"/>
        </w:numPr>
        <w:spacing w:line="240" w:lineRule="auto"/>
        <w:rPr>
          <w:rFonts w:ascii="Book Antiqua" w:hAnsi="Book Antiqua"/>
        </w:rPr>
      </w:pPr>
      <w:r w:rsidRPr="00A41FDA">
        <w:rPr>
          <w:rFonts w:ascii="Book Antiqua" w:hAnsi="Book Antiqua"/>
        </w:rPr>
        <w:t xml:space="preserve">Lloyds </w:t>
      </w:r>
      <w:r w:rsidR="00FC23EB">
        <w:rPr>
          <w:rFonts w:ascii="Book Antiqua" w:hAnsi="Book Antiqua"/>
        </w:rPr>
        <w:t>profited</w:t>
      </w:r>
      <w:r w:rsidRPr="00A41FDA">
        <w:rPr>
          <w:rFonts w:ascii="Book Antiqua" w:hAnsi="Book Antiqua"/>
        </w:rPr>
        <w:t xml:space="preserve"> £400,000 by mis-selling three complex derivatives to SME care home.</w:t>
      </w:r>
    </w:p>
    <w:p w:rsidR="00D63FF0" w:rsidRPr="00A41FDA" w:rsidRDefault="00D63FF0" w:rsidP="00515E0C">
      <w:pPr>
        <w:pStyle w:val="ListParagraph"/>
        <w:numPr>
          <w:ilvl w:val="0"/>
          <w:numId w:val="5"/>
        </w:numPr>
        <w:spacing w:line="240" w:lineRule="auto"/>
        <w:rPr>
          <w:rFonts w:ascii="Book Antiqua" w:hAnsi="Book Antiqua"/>
        </w:rPr>
      </w:pPr>
      <w:r w:rsidRPr="00A41FDA">
        <w:rPr>
          <w:rFonts w:ascii="Book Antiqua" w:hAnsi="Book Antiqua"/>
        </w:rPr>
        <w:t>Litigation settlement cost Lloyds in the region of £4.6 million;</w:t>
      </w:r>
      <w:r w:rsidRPr="00D63FF0">
        <w:t xml:space="preserve"> </w:t>
      </w:r>
      <w:r>
        <w:t>b</w:t>
      </w:r>
      <w:r w:rsidRPr="00A41FDA">
        <w:rPr>
          <w:rFonts w:ascii="Book Antiqua" w:hAnsi="Book Antiqua"/>
        </w:rPr>
        <w:t xml:space="preserve">reak cost almost doubled (from £1.8 million to £3.5 million) in six months due to Lloyds’ </w:t>
      </w:r>
      <w:r w:rsidR="00FC23EB">
        <w:rPr>
          <w:rFonts w:ascii="Book Antiqua" w:hAnsi="Book Antiqua"/>
        </w:rPr>
        <w:t>denials.</w:t>
      </w:r>
    </w:p>
    <w:p w:rsidR="00D63FF0" w:rsidRDefault="00D63FF0" w:rsidP="00515E0C">
      <w:pPr>
        <w:pStyle w:val="ListParagraph"/>
        <w:numPr>
          <w:ilvl w:val="0"/>
          <w:numId w:val="5"/>
        </w:numPr>
        <w:spacing w:line="240" w:lineRule="auto"/>
        <w:rPr>
          <w:rFonts w:ascii="Book Antiqua" w:hAnsi="Book Antiqua"/>
        </w:rPr>
      </w:pPr>
      <w:r w:rsidRPr="00A41FDA">
        <w:rPr>
          <w:rFonts w:ascii="Book Antiqua" w:hAnsi="Book Antiqua"/>
        </w:rPr>
        <w:t>FCA allows banks to review their own p</w:t>
      </w:r>
      <w:r w:rsidR="001014C0">
        <w:rPr>
          <w:rFonts w:ascii="Book Antiqua" w:hAnsi="Book Antiqua"/>
        </w:rPr>
        <w:t xml:space="preserve">ast sales of derivatives and </w:t>
      </w:r>
      <w:r w:rsidRPr="00A41FDA">
        <w:rPr>
          <w:rFonts w:ascii="Book Antiqua" w:hAnsi="Book Antiqua"/>
        </w:rPr>
        <w:t xml:space="preserve">decide level of redress to pay; </w:t>
      </w:r>
      <w:r w:rsidR="001014C0">
        <w:rPr>
          <w:rFonts w:ascii="Book Antiqua" w:hAnsi="Book Antiqua"/>
        </w:rPr>
        <w:t>Lloyds</w:t>
      </w:r>
      <w:r w:rsidRPr="00A41FDA">
        <w:rPr>
          <w:rFonts w:ascii="Book Antiqua" w:hAnsi="Book Antiqua"/>
        </w:rPr>
        <w:t xml:space="preserve"> likely to have decided in IRHP review scheme that there was wrongdoing in past conduct but decided in any event </w:t>
      </w:r>
      <w:r w:rsidR="00FC23EB">
        <w:rPr>
          <w:rFonts w:ascii="Book Antiqua" w:hAnsi="Book Antiqua"/>
        </w:rPr>
        <w:t xml:space="preserve">to </w:t>
      </w:r>
      <w:r w:rsidRPr="00A41FDA">
        <w:rPr>
          <w:rFonts w:ascii="Book Antiqua" w:hAnsi="Book Antiqua"/>
        </w:rPr>
        <w:t>pay nothing.</w:t>
      </w:r>
    </w:p>
    <w:p w:rsidR="00FC23EB" w:rsidRPr="00FC23EB" w:rsidRDefault="00FC23EB" w:rsidP="00515E0C">
      <w:pPr>
        <w:pStyle w:val="ListParagraph"/>
        <w:numPr>
          <w:ilvl w:val="0"/>
          <w:numId w:val="5"/>
        </w:numPr>
        <w:spacing w:line="240" w:lineRule="auto"/>
        <w:rPr>
          <w:rFonts w:ascii="Book Antiqua" w:hAnsi="Book Antiqua"/>
        </w:rPr>
      </w:pPr>
      <w:r w:rsidRPr="00FC23EB">
        <w:rPr>
          <w:rFonts w:ascii="Book Antiqua" w:hAnsi="Book Antiqua"/>
        </w:rPr>
        <w:t>The IRHP review scheme is similar to a trial where the defendant is also the judge.</w:t>
      </w:r>
    </w:p>
    <w:p w:rsidR="00D63FF0" w:rsidRPr="00A41FDA" w:rsidRDefault="00FC23EB" w:rsidP="00515E0C">
      <w:pPr>
        <w:pStyle w:val="ListParagraph"/>
        <w:numPr>
          <w:ilvl w:val="0"/>
          <w:numId w:val="5"/>
        </w:numPr>
        <w:spacing w:line="240" w:lineRule="auto"/>
        <w:rPr>
          <w:rFonts w:ascii="Book Antiqua" w:hAnsi="Book Antiqua"/>
        </w:rPr>
      </w:pPr>
      <w:r>
        <w:rPr>
          <w:rFonts w:ascii="Book Antiqua" w:hAnsi="Book Antiqua"/>
        </w:rPr>
        <w:t xml:space="preserve">Lloyds ejected customer </w:t>
      </w:r>
      <w:r w:rsidR="00D63FF0" w:rsidRPr="00A41FDA">
        <w:rPr>
          <w:rFonts w:ascii="Book Antiqua" w:hAnsi="Book Antiqua"/>
        </w:rPr>
        <w:t xml:space="preserve">from </w:t>
      </w:r>
      <w:r>
        <w:rPr>
          <w:rFonts w:ascii="Book Antiqua" w:hAnsi="Book Antiqua"/>
        </w:rPr>
        <w:t xml:space="preserve">IRHP </w:t>
      </w:r>
      <w:r w:rsidR="00D63FF0" w:rsidRPr="00A41FDA">
        <w:rPr>
          <w:rFonts w:ascii="Book Antiqua" w:hAnsi="Book Antiqua"/>
        </w:rPr>
        <w:t xml:space="preserve">review but failed to inform SME for </w:t>
      </w:r>
      <w:r>
        <w:rPr>
          <w:rFonts w:ascii="Book Antiqua" w:hAnsi="Book Antiqua"/>
        </w:rPr>
        <w:t>7</w:t>
      </w:r>
      <w:r w:rsidR="00D63FF0" w:rsidRPr="00A41FDA">
        <w:rPr>
          <w:rFonts w:ascii="Book Antiqua" w:hAnsi="Book Antiqua"/>
        </w:rPr>
        <w:t xml:space="preserve"> months (until after</w:t>
      </w:r>
      <w:r>
        <w:rPr>
          <w:rFonts w:ascii="Book Antiqua" w:hAnsi="Book Antiqua"/>
        </w:rPr>
        <w:t xml:space="preserve"> limitation date </w:t>
      </w:r>
      <w:r w:rsidR="00D63FF0" w:rsidRPr="00A41FDA">
        <w:rPr>
          <w:rFonts w:ascii="Book Antiqua" w:hAnsi="Book Antiqua"/>
        </w:rPr>
        <w:t>passed</w:t>
      </w:r>
      <w:r>
        <w:rPr>
          <w:rFonts w:ascii="Book Antiqua" w:hAnsi="Book Antiqua"/>
        </w:rPr>
        <w:t xml:space="preserve"> and SME’s legal rights would then be time barred</w:t>
      </w:r>
      <w:r w:rsidR="00D63FF0" w:rsidRPr="00A41FDA">
        <w:rPr>
          <w:rFonts w:ascii="Book Antiqua" w:hAnsi="Book Antiqua"/>
        </w:rPr>
        <w:t>).</w:t>
      </w:r>
    </w:p>
    <w:p w:rsidR="00D63FF0" w:rsidRPr="00A41FDA" w:rsidRDefault="00D63FF0" w:rsidP="00515E0C">
      <w:pPr>
        <w:pStyle w:val="ListParagraph"/>
        <w:numPr>
          <w:ilvl w:val="0"/>
          <w:numId w:val="5"/>
        </w:numPr>
        <w:spacing w:line="240" w:lineRule="auto"/>
        <w:rPr>
          <w:rFonts w:ascii="Book Antiqua" w:hAnsi="Book Antiqua"/>
        </w:rPr>
      </w:pPr>
      <w:r w:rsidRPr="00A41FDA">
        <w:rPr>
          <w:rFonts w:ascii="Book Antiqua" w:hAnsi="Book Antiqua"/>
        </w:rPr>
        <w:t xml:space="preserve">Lloyds </w:t>
      </w:r>
      <w:r w:rsidR="00FC23EB">
        <w:rPr>
          <w:rFonts w:ascii="Book Antiqua" w:hAnsi="Book Antiqua"/>
        </w:rPr>
        <w:t>charged</w:t>
      </w:r>
      <w:r w:rsidRPr="00A41FDA">
        <w:rPr>
          <w:rFonts w:ascii="Book Antiqua" w:hAnsi="Book Antiqua"/>
        </w:rPr>
        <w:t xml:space="preserve"> </w:t>
      </w:r>
      <w:r w:rsidR="00FC23EB">
        <w:rPr>
          <w:rFonts w:ascii="Book Antiqua" w:hAnsi="Book Antiqua"/>
        </w:rPr>
        <w:t xml:space="preserve">(and refuses to refund) </w:t>
      </w:r>
      <w:r w:rsidRPr="00A41FDA">
        <w:rPr>
          <w:rFonts w:ascii="Book Antiqua" w:hAnsi="Book Antiqua"/>
        </w:rPr>
        <w:t xml:space="preserve">almost £130,000 </w:t>
      </w:r>
      <w:r w:rsidR="00FC23EB">
        <w:rPr>
          <w:rFonts w:ascii="Book Antiqua" w:hAnsi="Book Antiqua"/>
        </w:rPr>
        <w:t xml:space="preserve">in </w:t>
      </w:r>
      <w:r w:rsidRPr="00A41FDA">
        <w:rPr>
          <w:rFonts w:ascii="Book Antiqua" w:hAnsi="Book Antiqua"/>
        </w:rPr>
        <w:t xml:space="preserve">overdraft </w:t>
      </w:r>
      <w:r w:rsidR="00203768">
        <w:rPr>
          <w:rFonts w:ascii="Book Antiqua" w:hAnsi="Book Antiqua"/>
        </w:rPr>
        <w:t xml:space="preserve">fees </w:t>
      </w:r>
      <w:r w:rsidRPr="00A41FDA">
        <w:rPr>
          <w:rFonts w:ascii="Book Antiqua" w:hAnsi="Book Antiqua"/>
        </w:rPr>
        <w:t xml:space="preserve">and interest to </w:t>
      </w:r>
      <w:r w:rsidR="00FC23EB">
        <w:rPr>
          <w:rFonts w:ascii="Book Antiqua" w:hAnsi="Book Antiqua"/>
        </w:rPr>
        <w:t xml:space="preserve">customer which were suffered </w:t>
      </w:r>
      <w:r w:rsidRPr="00A41FDA">
        <w:rPr>
          <w:rFonts w:ascii="Book Antiqua" w:hAnsi="Book Antiqua"/>
        </w:rPr>
        <w:t>due to</w:t>
      </w:r>
      <w:r w:rsidR="00FC23EB">
        <w:rPr>
          <w:rFonts w:ascii="Book Antiqua" w:hAnsi="Book Antiqua"/>
        </w:rPr>
        <w:t xml:space="preserve"> the</w:t>
      </w:r>
      <w:r w:rsidRPr="00A41FDA">
        <w:rPr>
          <w:rFonts w:ascii="Book Antiqua" w:hAnsi="Book Antiqua"/>
        </w:rPr>
        <w:t xml:space="preserve"> mis-sold derivative.</w:t>
      </w:r>
    </w:p>
    <w:p w:rsidR="00E929FF" w:rsidRDefault="00D63FF0" w:rsidP="00515E0C">
      <w:pPr>
        <w:pStyle w:val="ListParagraph"/>
        <w:numPr>
          <w:ilvl w:val="0"/>
          <w:numId w:val="5"/>
        </w:numPr>
        <w:spacing w:line="240" w:lineRule="auto"/>
        <w:rPr>
          <w:rFonts w:ascii="Book Antiqua" w:hAnsi="Book Antiqua"/>
        </w:rPr>
      </w:pPr>
      <w:r w:rsidRPr="00A41FDA">
        <w:rPr>
          <w:rFonts w:ascii="Book Antiqua" w:hAnsi="Book Antiqua"/>
        </w:rPr>
        <w:t>Lloyd</w:t>
      </w:r>
      <w:r w:rsidR="00FC23EB">
        <w:rPr>
          <w:rFonts w:ascii="Book Antiqua" w:hAnsi="Book Antiqua"/>
        </w:rPr>
        <w:t>s relied on Yorkshire B</w:t>
      </w:r>
      <w:r w:rsidRPr="00A41FDA">
        <w:rPr>
          <w:rFonts w:ascii="Book Antiqua" w:hAnsi="Book Antiqua"/>
        </w:rPr>
        <w:t xml:space="preserve">ank’s sales mistakes to justify its own </w:t>
      </w:r>
      <w:r w:rsidR="00FC23EB">
        <w:rPr>
          <w:rFonts w:ascii="Book Antiqua" w:hAnsi="Book Antiqua"/>
        </w:rPr>
        <w:t>mis-selling.</w:t>
      </w:r>
      <w:r w:rsidRPr="00A41FDA">
        <w:rPr>
          <w:rFonts w:ascii="Book Antiqua" w:hAnsi="Book Antiqua"/>
        </w:rPr>
        <w:t xml:space="preserve"> Following this logic through from the defence, Lloyds’</w:t>
      </w:r>
      <w:r w:rsidR="004820B7">
        <w:rPr>
          <w:rFonts w:ascii="Book Antiqua" w:hAnsi="Book Antiqua"/>
        </w:rPr>
        <w:t xml:space="preserve"> own</w:t>
      </w:r>
      <w:r w:rsidRPr="00A41FDA">
        <w:rPr>
          <w:rFonts w:ascii="Book Antiqua" w:hAnsi="Book Antiqua"/>
        </w:rPr>
        <w:t xml:space="preserve"> ‘fixed rate loans’ containing swaps can be </w:t>
      </w:r>
      <w:r w:rsidR="00203768">
        <w:rPr>
          <w:rFonts w:ascii="Book Antiqua" w:hAnsi="Book Antiqua"/>
        </w:rPr>
        <w:t>considered</w:t>
      </w:r>
      <w:r w:rsidR="00203768" w:rsidRPr="00A41FDA">
        <w:rPr>
          <w:rFonts w:ascii="Book Antiqua" w:hAnsi="Book Antiqua"/>
        </w:rPr>
        <w:t xml:space="preserve"> </w:t>
      </w:r>
      <w:r w:rsidRPr="00A41FDA">
        <w:rPr>
          <w:rFonts w:ascii="Book Antiqua" w:hAnsi="Book Antiqua"/>
        </w:rPr>
        <w:t>to be</w:t>
      </w:r>
      <w:r w:rsidR="004820B7">
        <w:rPr>
          <w:rFonts w:ascii="Book Antiqua" w:hAnsi="Book Antiqua"/>
        </w:rPr>
        <w:t xml:space="preserve"> regulated</w:t>
      </w:r>
      <w:r w:rsidRPr="00A41FDA">
        <w:rPr>
          <w:rFonts w:ascii="Book Antiqua" w:hAnsi="Book Antiqua"/>
        </w:rPr>
        <w:t xml:space="preserve"> embedded derivatives.</w:t>
      </w:r>
    </w:p>
    <w:p w:rsidR="001A29E4" w:rsidRPr="001A29E4" w:rsidRDefault="001A29E4" w:rsidP="00515E0C">
      <w:pPr>
        <w:spacing w:line="240" w:lineRule="auto"/>
        <w:rPr>
          <w:rFonts w:ascii="Book Antiqua" w:hAnsi="Book Antiqua"/>
          <w:b/>
        </w:rPr>
      </w:pPr>
      <w:r w:rsidRPr="001A29E4">
        <w:rPr>
          <w:rFonts w:ascii="Book Antiqua" w:hAnsi="Book Antiqua"/>
          <w:b/>
        </w:rPr>
        <w:t>Contact details for editors:</w:t>
      </w:r>
    </w:p>
    <w:p w:rsidR="00E20EFA" w:rsidRDefault="00E20EFA" w:rsidP="00D2789C">
      <w:pPr>
        <w:pStyle w:val="ListParagraph"/>
        <w:numPr>
          <w:ilvl w:val="0"/>
          <w:numId w:val="7"/>
        </w:numPr>
        <w:spacing w:line="240" w:lineRule="auto"/>
        <w:rPr>
          <w:rFonts w:ascii="Book Antiqua" w:hAnsi="Book Antiqua"/>
        </w:rPr>
      </w:pPr>
      <w:r w:rsidRPr="00515E0C">
        <w:rPr>
          <w:rFonts w:ascii="Book Antiqua" w:hAnsi="Book Antiqua"/>
          <w:b/>
        </w:rPr>
        <w:t>Vedanta Hedging</w:t>
      </w:r>
      <w:r>
        <w:rPr>
          <w:rFonts w:ascii="Book Antiqua" w:hAnsi="Book Antiqua"/>
        </w:rPr>
        <w:t xml:space="preserve"> is the largest </w:t>
      </w:r>
      <w:r w:rsidR="00B12FDB">
        <w:rPr>
          <w:rFonts w:ascii="Book Antiqua" w:hAnsi="Book Antiqua"/>
        </w:rPr>
        <w:t>FCA-regulated hedging</w:t>
      </w:r>
      <w:r>
        <w:rPr>
          <w:rFonts w:ascii="Book Antiqua" w:hAnsi="Book Antiqua"/>
        </w:rPr>
        <w:t xml:space="preserve"> advisory organisation in the UK </w:t>
      </w:r>
      <w:r w:rsidR="004F5292">
        <w:rPr>
          <w:rFonts w:ascii="Book Antiqua" w:hAnsi="Book Antiqua"/>
        </w:rPr>
        <w:t xml:space="preserve">for SMEs </w:t>
      </w:r>
      <w:r>
        <w:rPr>
          <w:rFonts w:ascii="Book Antiqua" w:hAnsi="Book Antiqua"/>
        </w:rPr>
        <w:t>and</w:t>
      </w:r>
      <w:r w:rsidR="00B12FDB">
        <w:rPr>
          <w:rFonts w:ascii="Book Antiqua" w:hAnsi="Book Antiqua"/>
        </w:rPr>
        <w:t xml:space="preserve"> has advis</w:t>
      </w:r>
      <w:r>
        <w:rPr>
          <w:rFonts w:ascii="Book Antiqua" w:hAnsi="Book Antiqua"/>
        </w:rPr>
        <w:t xml:space="preserve">ed </w:t>
      </w:r>
      <w:r w:rsidR="00B12FDB">
        <w:rPr>
          <w:rFonts w:ascii="Book Antiqua" w:hAnsi="Book Antiqua"/>
        </w:rPr>
        <w:t>hundreds of</w:t>
      </w:r>
      <w:r>
        <w:rPr>
          <w:rFonts w:ascii="Book Antiqua" w:hAnsi="Book Antiqua"/>
        </w:rPr>
        <w:t xml:space="preserve"> clients in connection with the mis-selling of derivatives</w:t>
      </w:r>
      <w:r w:rsidR="00B12FDB">
        <w:rPr>
          <w:rFonts w:ascii="Book Antiqua" w:hAnsi="Book Antiqua"/>
        </w:rPr>
        <w:t xml:space="preserve"> in both the FCA-backed IRHP review scheme and in litigation by providing expert witnesses. The</w:t>
      </w:r>
      <w:r>
        <w:rPr>
          <w:rFonts w:ascii="Book Antiqua" w:hAnsi="Book Antiqua"/>
        </w:rPr>
        <w:t xml:space="preserve"> M</w:t>
      </w:r>
      <w:r w:rsidR="00B12FDB">
        <w:rPr>
          <w:rFonts w:ascii="Book Antiqua" w:hAnsi="Book Antiqua"/>
        </w:rPr>
        <w:t xml:space="preserve">anaging </w:t>
      </w:r>
      <w:r>
        <w:rPr>
          <w:rFonts w:ascii="Book Antiqua" w:hAnsi="Book Antiqua"/>
        </w:rPr>
        <w:t>D</w:t>
      </w:r>
      <w:r w:rsidR="00B12FDB">
        <w:rPr>
          <w:rFonts w:ascii="Book Antiqua" w:hAnsi="Book Antiqua"/>
        </w:rPr>
        <w:t>irector</w:t>
      </w:r>
      <w:r w:rsidR="00515E0C">
        <w:rPr>
          <w:rFonts w:ascii="Book Antiqua" w:hAnsi="Book Antiqua"/>
        </w:rPr>
        <w:t>, Mr</w:t>
      </w:r>
      <w:r w:rsidR="001A29E4">
        <w:rPr>
          <w:rFonts w:ascii="Book Antiqua" w:hAnsi="Book Antiqua"/>
        </w:rPr>
        <w:t xml:space="preserve"> </w:t>
      </w:r>
      <w:r>
        <w:rPr>
          <w:rFonts w:ascii="Book Antiqua" w:hAnsi="Book Antiqua"/>
        </w:rPr>
        <w:t xml:space="preserve">Abhishek </w:t>
      </w:r>
      <w:proofErr w:type="spellStart"/>
      <w:r>
        <w:rPr>
          <w:rFonts w:ascii="Book Antiqua" w:hAnsi="Book Antiqua"/>
        </w:rPr>
        <w:t>Sa</w:t>
      </w:r>
      <w:r w:rsidR="00B12FDB">
        <w:rPr>
          <w:rFonts w:ascii="Book Antiqua" w:hAnsi="Book Antiqua"/>
        </w:rPr>
        <w:t>chdev</w:t>
      </w:r>
      <w:proofErr w:type="spellEnd"/>
      <w:r w:rsidR="00B12FDB">
        <w:rPr>
          <w:rFonts w:ascii="Book Antiqua" w:hAnsi="Book Antiqua"/>
        </w:rPr>
        <w:t xml:space="preserve">, can be contacted by </w:t>
      </w:r>
      <w:r w:rsidR="00A0606C">
        <w:rPr>
          <w:rFonts w:ascii="Book Antiqua" w:hAnsi="Book Antiqua"/>
        </w:rPr>
        <w:t>email on</w:t>
      </w:r>
      <w:r w:rsidR="00B12FDB">
        <w:rPr>
          <w:rFonts w:ascii="Book Antiqua" w:hAnsi="Book Antiqua"/>
        </w:rPr>
        <w:t xml:space="preserve"> </w:t>
      </w:r>
      <w:hyperlink r:id="rId14" w:history="1">
        <w:r w:rsidR="00B12FDB" w:rsidRPr="00795647">
          <w:rPr>
            <w:rStyle w:val="Hyperlink"/>
            <w:rFonts w:ascii="Book Antiqua" w:hAnsi="Book Antiqua"/>
          </w:rPr>
          <w:t>abhishek@vedantahedging.com</w:t>
        </w:r>
      </w:hyperlink>
      <w:r w:rsidR="00B12FDB">
        <w:rPr>
          <w:rFonts w:ascii="Book Antiqua" w:hAnsi="Book Antiqua"/>
        </w:rPr>
        <w:t xml:space="preserve"> o</w:t>
      </w:r>
      <w:r>
        <w:rPr>
          <w:rFonts w:ascii="Book Antiqua" w:hAnsi="Book Antiqua"/>
        </w:rPr>
        <w:t xml:space="preserve">r telephone on </w:t>
      </w:r>
      <w:r w:rsidR="00D2789C" w:rsidRPr="00D2789C">
        <w:rPr>
          <w:rFonts w:ascii="Book Antiqua" w:hAnsi="Book Antiqua"/>
        </w:rPr>
        <w:t>020 7183 2277</w:t>
      </w:r>
      <w:r w:rsidR="00B12FDB">
        <w:rPr>
          <w:rFonts w:ascii="Book Antiqua" w:hAnsi="Book Antiqua"/>
        </w:rPr>
        <w:t>.</w:t>
      </w:r>
    </w:p>
    <w:p w:rsidR="00E20EFA" w:rsidRDefault="00E20EFA" w:rsidP="00D2789C">
      <w:pPr>
        <w:pStyle w:val="ListParagraph"/>
        <w:numPr>
          <w:ilvl w:val="0"/>
          <w:numId w:val="7"/>
        </w:numPr>
        <w:spacing w:line="240" w:lineRule="auto"/>
        <w:rPr>
          <w:rFonts w:ascii="Book Antiqua" w:hAnsi="Book Antiqua"/>
        </w:rPr>
      </w:pPr>
      <w:r w:rsidRPr="00515E0C">
        <w:rPr>
          <w:rFonts w:ascii="Book Antiqua" w:hAnsi="Book Antiqua"/>
          <w:b/>
        </w:rPr>
        <w:t xml:space="preserve">LEXLAW Solicitors &amp; </w:t>
      </w:r>
      <w:r w:rsidR="001A29E4" w:rsidRPr="00515E0C">
        <w:rPr>
          <w:rFonts w:ascii="Book Antiqua" w:hAnsi="Book Antiqua"/>
          <w:b/>
        </w:rPr>
        <w:t>Barristers</w:t>
      </w:r>
      <w:r w:rsidR="001A29E4">
        <w:rPr>
          <w:rFonts w:ascii="Book Antiqua" w:hAnsi="Book Antiqua"/>
        </w:rPr>
        <w:t xml:space="preserve"> is a unique </w:t>
      </w:r>
      <w:r w:rsidR="00B12FDB">
        <w:rPr>
          <w:rFonts w:ascii="Book Antiqua" w:hAnsi="Book Antiqua"/>
        </w:rPr>
        <w:t xml:space="preserve">law </w:t>
      </w:r>
      <w:r w:rsidR="001A29E4">
        <w:rPr>
          <w:rFonts w:ascii="Book Antiqua" w:hAnsi="Book Antiqua"/>
        </w:rPr>
        <w:t>firm that partners solicitors and barristers and is the only law firm</w:t>
      </w:r>
      <w:r>
        <w:rPr>
          <w:rFonts w:ascii="Book Antiqua" w:hAnsi="Book Antiqua"/>
        </w:rPr>
        <w:t xml:space="preserve"> based in </w:t>
      </w:r>
      <w:r w:rsidR="001A29E4">
        <w:rPr>
          <w:rFonts w:ascii="Book Antiqua" w:hAnsi="Book Antiqua"/>
        </w:rPr>
        <w:t>the Middle Temple (an Inn of Court). The firm has conducted more litigation in respect of derivatives mis-selling to SMEs than any other law firm in the UK.</w:t>
      </w:r>
      <w:r w:rsidR="00B12FDB">
        <w:rPr>
          <w:rFonts w:ascii="Book Antiqua" w:hAnsi="Book Antiqua"/>
        </w:rPr>
        <w:t xml:space="preserve"> The partner in</w:t>
      </w:r>
      <w:r w:rsidR="001A29E4">
        <w:rPr>
          <w:rFonts w:ascii="Book Antiqua" w:hAnsi="Book Antiqua"/>
        </w:rPr>
        <w:t xml:space="preserve"> this case, Mr M. Ali Akram</w:t>
      </w:r>
      <w:r w:rsidR="00B12FDB">
        <w:rPr>
          <w:rFonts w:ascii="Book Antiqua" w:hAnsi="Book Antiqua"/>
        </w:rPr>
        <w:t>,</w:t>
      </w:r>
      <w:r w:rsidR="001A29E4">
        <w:rPr>
          <w:rFonts w:ascii="Book Antiqua" w:hAnsi="Book Antiqua"/>
        </w:rPr>
        <w:t xml:space="preserve"> can be contacted by email on </w:t>
      </w:r>
      <w:hyperlink r:id="rId15" w:history="1">
        <w:r w:rsidR="001A29E4" w:rsidRPr="00795647">
          <w:rPr>
            <w:rStyle w:val="Hyperlink"/>
            <w:rFonts w:ascii="Book Antiqua" w:hAnsi="Book Antiqua"/>
          </w:rPr>
          <w:t>maa@lexlaw.co.uk</w:t>
        </w:r>
      </w:hyperlink>
      <w:r w:rsidR="001A29E4">
        <w:rPr>
          <w:rFonts w:ascii="Book Antiqua" w:hAnsi="Book Antiqua"/>
        </w:rPr>
        <w:t xml:space="preserve"> or </w:t>
      </w:r>
      <w:r w:rsidR="00B12FDB">
        <w:rPr>
          <w:rFonts w:ascii="Book Antiqua" w:hAnsi="Book Antiqua"/>
        </w:rPr>
        <w:t xml:space="preserve">telephone on </w:t>
      </w:r>
      <w:r w:rsidR="00D2789C" w:rsidRPr="00D2789C">
        <w:rPr>
          <w:rFonts w:ascii="Book Antiqua" w:hAnsi="Book Antiqua"/>
        </w:rPr>
        <w:t>020 7183 0529</w:t>
      </w:r>
      <w:r w:rsidR="00B12FDB">
        <w:rPr>
          <w:rFonts w:ascii="Book Antiqua" w:hAnsi="Book Antiqua"/>
        </w:rPr>
        <w:t>.</w:t>
      </w:r>
    </w:p>
    <w:p w:rsidR="00B00C49" w:rsidRDefault="00A0606C" w:rsidP="00F27ED6">
      <w:pPr>
        <w:pStyle w:val="ListParagraph"/>
        <w:numPr>
          <w:ilvl w:val="0"/>
          <w:numId w:val="7"/>
        </w:numPr>
        <w:spacing w:line="240" w:lineRule="auto"/>
        <w:rPr>
          <w:rFonts w:ascii="Book Antiqua" w:hAnsi="Book Antiqua"/>
        </w:rPr>
      </w:pPr>
      <w:r w:rsidRPr="00B00C49">
        <w:rPr>
          <w:rFonts w:ascii="Book Antiqua" w:hAnsi="Book Antiqua"/>
          <w:b/>
        </w:rPr>
        <w:t>The Coin Group</w:t>
      </w:r>
      <w:r w:rsidRPr="00B00C49">
        <w:rPr>
          <w:rFonts w:ascii="Book Antiqua" w:hAnsi="Book Antiqua"/>
        </w:rPr>
        <w:t xml:space="preserve"> is an SME operator of care homes and investment property in the Buckinghamshire area, established since 1998. The owner and Managing Director, Mr. Errol Bland, </w:t>
      </w:r>
      <w:r w:rsidR="00515E0C" w:rsidRPr="00B00C49">
        <w:rPr>
          <w:rFonts w:ascii="Book Antiqua" w:hAnsi="Book Antiqua"/>
        </w:rPr>
        <w:t>was featured in a news report by Laura Kuenssberg for ITV News titled ‘</w:t>
      </w:r>
      <w:hyperlink r:id="rId16" w:history="1">
        <w:r w:rsidR="00515E0C" w:rsidRPr="00B00C49">
          <w:rPr>
            <w:rStyle w:val="Hyperlink"/>
            <w:rFonts w:ascii="Book Antiqua" w:hAnsi="Book Antiqua"/>
          </w:rPr>
          <w:t>Businesses worried about delays in resolving 'swaps' dispute</w:t>
        </w:r>
      </w:hyperlink>
      <w:r w:rsidR="00515E0C" w:rsidRPr="00B00C49">
        <w:rPr>
          <w:rFonts w:ascii="Book Antiqua" w:hAnsi="Book Antiqua"/>
        </w:rPr>
        <w:t>’ discussing delays in the IRHP</w:t>
      </w:r>
      <w:r w:rsidR="007A301D" w:rsidRPr="00B00C49">
        <w:rPr>
          <w:rFonts w:ascii="Book Antiqua" w:hAnsi="Book Antiqua"/>
        </w:rPr>
        <w:t xml:space="preserve"> review scheme</w:t>
      </w:r>
      <w:r w:rsidR="00515E0C" w:rsidRPr="00B00C49">
        <w:rPr>
          <w:rFonts w:ascii="Book Antiqua" w:hAnsi="Book Antiqua"/>
        </w:rPr>
        <w:t xml:space="preserve">. Mr Bland </w:t>
      </w:r>
      <w:r w:rsidRPr="00B00C49">
        <w:rPr>
          <w:rFonts w:ascii="Book Antiqua" w:hAnsi="Book Antiqua"/>
        </w:rPr>
        <w:t>can be contacted</w:t>
      </w:r>
      <w:r w:rsidR="00515E0C" w:rsidRPr="00B00C49">
        <w:rPr>
          <w:rFonts w:ascii="Book Antiqua" w:hAnsi="Book Antiqua"/>
        </w:rPr>
        <w:t xml:space="preserve"> for further comment</w:t>
      </w:r>
      <w:r w:rsidRPr="00B00C49">
        <w:rPr>
          <w:rFonts w:ascii="Book Antiqua" w:hAnsi="Book Antiqua"/>
        </w:rPr>
        <w:t xml:space="preserve"> by email on </w:t>
      </w:r>
      <w:hyperlink r:id="rId17" w:history="1">
        <w:r w:rsidRPr="00B00C49">
          <w:rPr>
            <w:rStyle w:val="Hyperlink"/>
            <w:rFonts w:ascii="Book Antiqua" w:hAnsi="Book Antiqua"/>
          </w:rPr>
          <w:t>errol@coin-uk.co.uk</w:t>
        </w:r>
      </w:hyperlink>
      <w:r w:rsidR="00D2789C" w:rsidRPr="00B00C49">
        <w:rPr>
          <w:rFonts w:ascii="Book Antiqua" w:hAnsi="Book Antiqua"/>
        </w:rPr>
        <w:t xml:space="preserve"> or via his legal representatives</w:t>
      </w:r>
      <w:r w:rsidRPr="00B00C49">
        <w:rPr>
          <w:rFonts w:ascii="Book Antiqua" w:hAnsi="Book Antiqua"/>
        </w:rPr>
        <w:t>.</w:t>
      </w:r>
      <w:r w:rsidR="00B00C49" w:rsidRPr="00B00C49">
        <w:rPr>
          <w:rFonts w:ascii="Book Antiqua" w:hAnsi="Book Antiqua"/>
        </w:rPr>
        <w:t xml:space="preserve"> </w:t>
      </w:r>
    </w:p>
    <w:p w:rsidR="00B00C49" w:rsidRDefault="00B00C49" w:rsidP="00B00C49">
      <w:pPr>
        <w:pStyle w:val="ListParagraph"/>
        <w:spacing w:line="240" w:lineRule="auto"/>
        <w:rPr>
          <w:rFonts w:ascii="Book Antiqua" w:hAnsi="Book Antiqua"/>
          <w:b/>
        </w:rPr>
      </w:pPr>
    </w:p>
    <w:p w:rsidR="00A41FDA" w:rsidRPr="00B00C49" w:rsidRDefault="00A41FDA" w:rsidP="00B00C49">
      <w:pPr>
        <w:pStyle w:val="ListParagraph"/>
        <w:spacing w:line="240" w:lineRule="auto"/>
        <w:ind w:left="0"/>
        <w:rPr>
          <w:rFonts w:ascii="Book Antiqua" w:hAnsi="Book Antiqua"/>
        </w:rPr>
      </w:pPr>
      <w:r w:rsidRPr="00B00C49">
        <w:rPr>
          <w:rFonts w:ascii="Book Antiqua" w:hAnsi="Book Antiqua"/>
          <w:b/>
        </w:rPr>
        <w:t>END</w:t>
      </w:r>
      <w:r w:rsidR="008D332E" w:rsidRPr="00B00C49">
        <w:rPr>
          <w:rFonts w:ascii="Book Antiqua" w:hAnsi="Book Antiqua"/>
          <w:b/>
        </w:rPr>
        <w:t>S</w:t>
      </w:r>
      <w:bookmarkStart w:id="0" w:name="_GoBack"/>
      <w:bookmarkEnd w:id="0"/>
    </w:p>
    <w:sectPr w:rsidR="00A41FDA" w:rsidRPr="00B00C49" w:rsidSect="00B00C49">
      <w:headerReference w:type="default" r:id="rId18"/>
      <w:pgSz w:w="11906" w:h="16838"/>
      <w:pgMar w:top="1361" w:right="1361" w:bottom="1361" w:left="136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90" w:rsidRDefault="00383E90" w:rsidP="006A7E0E">
      <w:pPr>
        <w:spacing w:after="0" w:line="240" w:lineRule="auto"/>
      </w:pPr>
      <w:r>
        <w:separator/>
      </w:r>
    </w:p>
  </w:endnote>
  <w:endnote w:type="continuationSeparator" w:id="0">
    <w:p w:rsidR="00383E90" w:rsidRDefault="00383E90" w:rsidP="006A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90" w:rsidRDefault="00383E90" w:rsidP="006A7E0E">
      <w:pPr>
        <w:spacing w:after="0" w:line="240" w:lineRule="auto"/>
      </w:pPr>
      <w:r>
        <w:separator/>
      </w:r>
    </w:p>
  </w:footnote>
  <w:footnote w:type="continuationSeparator" w:id="0">
    <w:p w:rsidR="00383E90" w:rsidRDefault="00383E90" w:rsidP="006A7E0E">
      <w:pPr>
        <w:spacing w:after="0" w:line="240" w:lineRule="auto"/>
      </w:pPr>
      <w:r>
        <w:continuationSeparator/>
      </w:r>
    </w:p>
  </w:footnote>
  <w:footnote w:id="1">
    <w:p w:rsidR="00A7612C" w:rsidRDefault="00A7612C">
      <w:pPr>
        <w:pStyle w:val="FootnoteText"/>
      </w:pPr>
      <w:r>
        <w:rPr>
          <w:rStyle w:val="FootnoteReference"/>
        </w:rPr>
        <w:footnoteRef/>
      </w:r>
      <w:r>
        <w:t xml:space="preserve"> </w:t>
      </w:r>
      <w:r w:rsidRPr="000766DC">
        <w:t>The Coin Group Limited v. Lloyds TSB Bank PLC (High Court of Justice, Queen's Bench Division, London Mercantile</w:t>
      </w:r>
      <w:r>
        <w:t xml:space="preserve"> Court,</w:t>
      </w:r>
      <w:r w:rsidRPr="000766DC">
        <w:t xml:space="preserve"> Claim</w:t>
      </w:r>
      <w:r>
        <w:t xml:space="preserve"> No</w:t>
      </w:r>
      <w:r w:rsidRPr="000766DC">
        <w:t>: 2013 Folio 944</w:t>
      </w:r>
      <w:r>
        <w:t>);</w:t>
      </w:r>
      <w:r w:rsidRPr="000766DC">
        <w:t xml:space="preserve"> proceedings were c</w:t>
      </w:r>
      <w:r>
        <w:t>ommenced on 15 July 2013.</w:t>
      </w:r>
    </w:p>
  </w:footnote>
  <w:footnote w:id="2">
    <w:p w:rsidR="00A7612C" w:rsidRDefault="00A7612C">
      <w:pPr>
        <w:pStyle w:val="FootnoteText"/>
      </w:pPr>
      <w:r>
        <w:rPr>
          <w:rStyle w:val="FootnoteReference"/>
        </w:rPr>
        <w:footnoteRef/>
      </w:r>
      <w:r>
        <w:t xml:space="preserve"> The derivatives were: (i</w:t>
      </w:r>
      <w:r w:rsidRPr="00125538">
        <w:t xml:space="preserve">) a </w:t>
      </w:r>
      <w:r>
        <w:t xml:space="preserve">£2.25m 14-year </w:t>
      </w:r>
      <w:r w:rsidRPr="00125538">
        <w:t>Callable Swap entered into on 24 July 2007; and (</w:t>
      </w:r>
      <w:r>
        <w:t>ii</w:t>
      </w:r>
      <w:r w:rsidRPr="00125538">
        <w:t>) a</w:t>
      </w:r>
      <w:r>
        <w:t xml:space="preserve"> £2.25m 14-year</w:t>
      </w:r>
      <w:r w:rsidRPr="00125538">
        <w:t xml:space="preserve"> Enhanced Collar entered into on 24 July 2007</w:t>
      </w:r>
      <w:r>
        <w:t>,</w:t>
      </w:r>
      <w:r w:rsidRPr="00125538">
        <w:t xml:space="preserve"> amended on 14 January 2008</w:t>
      </w:r>
      <w:r>
        <w:t>;</w:t>
      </w:r>
      <w:r w:rsidRPr="00125538">
        <w:t xml:space="preserve"> and (i</w:t>
      </w:r>
      <w:r>
        <w:t>ii</w:t>
      </w:r>
      <w:r w:rsidRPr="00125538">
        <w:t xml:space="preserve">) a </w:t>
      </w:r>
      <w:r>
        <w:t xml:space="preserve">£6m </w:t>
      </w:r>
      <w:r w:rsidR="00EF2285">
        <w:t>30</w:t>
      </w:r>
      <w:r>
        <w:t xml:space="preserve">-year </w:t>
      </w:r>
      <w:r w:rsidRPr="00125538">
        <w:t xml:space="preserve">Callable Swap entered into </w:t>
      </w:r>
      <w:r>
        <w:t>on</w:t>
      </w:r>
      <w:r w:rsidRPr="00125538">
        <w:t xml:space="preserve"> 1 December 2008 </w:t>
      </w:r>
      <w:r>
        <w:t>and represented to CGL by Lloyds as a way of restructuring the first two IRHPs in order to alleviate the financial difficulties caused by them.</w:t>
      </w:r>
    </w:p>
  </w:footnote>
  <w:footnote w:id="3">
    <w:p w:rsidR="00A7612C" w:rsidRDefault="00A7612C">
      <w:pPr>
        <w:pStyle w:val="FootnoteText"/>
      </w:pPr>
      <w:r>
        <w:rPr>
          <w:rStyle w:val="FootnoteReference"/>
        </w:rPr>
        <w:footnoteRef/>
      </w:r>
      <w:r>
        <w:t xml:space="preserve"> </w:t>
      </w:r>
      <w:r w:rsidRPr="003D75CD">
        <w:t xml:space="preserve">In July 2007, Lloyds sold </w:t>
      </w:r>
      <w:r>
        <w:t xml:space="preserve">a total of </w:t>
      </w:r>
      <w:r w:rsidRPr="003D75CD">
        <w:t xml:space="preserve">£4.5 million of hedging to the Coin Group for 14 years. When the Coin Group complained about the costs of that hedging, Lloyds recommended and sold </w:t>
      </w:r>
      <w:r>
        <w:t>a restructure</w:t>
      </w:r>
      <w:r w:rsidRPr="003D75CD">
        <w:t xml:space="preserve"> in December 2008</w:t>
      </w:r>
      <w:r>
        <w:t xml:space="preserve">, which </w:t>
      </w:r>
      <w:r w:rsidRPr="003D75CD">
        <w:t xml:space="preserve">replacement hedging </w:t>
      </w:r>
      <w:r>
        <w:t>had an even bigger detriment as it had a value of</w:t>
      </w:r>
      <w:r w:rsidRPr="003D75CD">
        <w:t xml:space="preserve"> £6 million for </w:t>
      </w:r>
      <w:r w:rsidR="00EF2285">
        <w:t>30</w:t>
      </w:r>
      <w:r w:rsidR="00EF2285" w:rsidRPr="003D75CD">
        <w:t xml:space="preserve"> </w:t>
      </w:r>
      <w:r w:rsidRPr="003D75CD">
        <w:t>years.</w:t>
      </w:r>
    </w:p>
  </w:footnote>
  <w:footnote w:id="4">
    <w:p w:rsidR="00A7612C" w:rsidRDefault="00A7612C">
      <w:pPr>
        <w:pStyle w:val="FootnoteText"/>
      </w:pPr>
      <w:r>
        <w:rPr>
          <w:rStyle w:val="FootnoteReference"/>
        </w:rPr>
        <w:footnoteRef/>
      </w:r>
      <w:r>
        <w:t xml:space="preserve"> See </w:t>
      </w:r>
      <w:r w:rsidR="00146515">
        <w:t>LEXLAW letter to FCA dated</w:t>
      </w:r>
      <w:r>
        <w:t xml:space="preserve"> 10 October 2013 titled </w:t>
      </w:r>
      <w:hyperlink r:id="rId1" w:history="1">
        <w:r w:rsidRPr="00073334">
          <w:rPr>
            <w:rStyle w:val="Hyperlink"/>
          </w:rPr>
          <w:t>Notice of Failings in and Abuses of the IRHP Review</w:t>
        </w:r>
      </w:hyperlink>
      <w:r>
        <w:t>.</w:t>
      </w:r>
    </w:p>
  </w:footnote>
  <w:footnote w:id="5">
    <w:p w:rsidR="002217A0" w:rsidRDefault="002217A0" w:rsidP="002217A0">
      <w:pPr>
        <w:pStyle w:val="FootnoteText"/>
      </w:pPr>
      <w:r>
        <w:rPr>
          <w:rStyle w:val="FootnoteReference"/>
        </w:rPr>
        <w:footnoteRef/>
      </w:r>
      <w:r>
        <w:t xml:space="preserve"> </w:t>
      </w:r>
      <w:hyperlink r:id="rId2" w:history="1">
        <w:r w:rsidRPr="002217A0">
          <w:rPr>
            <w:rStyle w:val="Hyperlink"/>
          </w:rPr>
          <w:t>FCA Pilot Findings, 31 January 2013</w:t>
        </w:r>
      </w:hyperlink>
      <w:r>
        <w:t>: “</w:t>
      </w:r>
      <w:r w:rsidRPr="002217A0">
        <w:rPr>
          <w:i/>
        </w:rPr>
        <w:t>The work on the pilot has confirmed the FSA’s initial findings that there was significant mis-selling of IRHPs. We looked at 173 sales to ‘non-sophisticated’ customers in the pilot and found that over 90% did not comply with one or more of our regulatory requirements.</w:t>
      </w:r>
      <w:r>
        <w:t>”</w:t>
      </w:r>
    </w:p>
  </w:footnote>
  <w:footnote w:id="6">
    <w:p w:rsidR="00146515" w:rsidRDefault="00146515">
      <w:pPr>
        <w:pStyle w:val="FootnoteText"/>
      </w:pPr>
      <w:r>
        <w:rPr>
          <w:rStyle w:val="FootnoteReference"/>
        </w:rPr>
        <w:footnoteRef/>
      </w:r>
      <w:r>
        <w:t xml:space="preserve"> Andrew Verity has reported on BBC Newsnight that Her Majesty’s Treasury pressur</w:t>
      </w:r>
      <w:r w:rsidR="002217A0">
        <w:t>is</w:t>
      </w:r>
      <w:r>
        <w:t xml:space="preserve">ed the FCA to water down the redress scheme to save billions of pounds of redress for the major banks, two of whom had been bailed out by the UK taxpayer (Lloyds and Royal Bank of Scotland); </w:t>
      </w:r>
      <w:hyperlink r:id="rId3" w:history="1">
        <w:r w:rsidRPr="00146515">
          <w:rPr>
            <w:rStyle w:val="Hyperlink"/>
          </w:rPr>
          <w:t>Newsnight, 23 July 2015</w:t>
        </w:r>
      </w:hyperlink>
      <w:r>
        <w:t>.</w:t>
      </w:r>
    </w:p>
  </w:footnote>
  <w:footnote w:id="7">
    <w:p w:rsidR="0086547D" w:rsidRDefault="0086547D">
      <w:pPr>
        <w:pStyle w:val="FootnoteText"/>
      </w:pPr>
      <w:r>
        <w:rPr>
          <w:rStyle w:val="FootnoteReference"/>
        </w:rPr>
        <w:footnoteRef/>
      </w:r>
      <w:r>
        <w:t xml:space="preserve"> </w:t>
      </w:r>
      <w:r w:rsidR="001014C0">
        <w:t>Thousands of small business that have been excluded from the IRHP review scheme are contemplating legal action against the government for its failure to apply the Markets in Financial Instruments Directive (MiFID) rules correctly (s</w:t>
      </w:r>
      <w:r>
        <w:t xml:space="preserve">ee Kiki Loizou reporting for the Sunday Times on 25 January 2015: </w:t>
      </w:r>
      <w:hyperlink r:id="rId4" w:history="1">
        <w:r w:rsidRPr="0086547D">
          <w:rPr>
            <w:rStyle w:val="Hyperlink"/>
          </w:rPr>
          <w:t>‘Taxpayer may face £2bn bill over swaps mis-selling scandal’</w:t>
        </w:r>
      </w:hyperlink>
      <w:r w:rsidR="001014C0">
        <w:t>).</w:t>
      </w:r>
    </w:p>
  </w:footnote>
  <w:footnote w:id="8">
    <w:p w:rsidR="00A7612C" w:rsidRDefault="00EF2285">
      <w:pPr>
        <w:pStyle w:val="FootnoteText"/>
      </w:pPr>
      <w:r>
        <w:rPr>
          <w:rStyle w:val="FootnoteReference"/>
        </w:rPr>
        <w:footnoteRef/>
      </w:r>
      <w:r>
        <w:t xml:space="preserve"> </w:t>
      </w:r>
      <w:r w:rsidRPr="00B44268">
        <w:t xml:space="preserve">In </w:t>
      </w:r>
      <w:r>
        <w:t>a recent</w:t>
      </w:r>
      <w:r w:rsidRPr="00B44268">
        <w:t xml:space="preserve"> interview</w:t>
      </w:r>
      <w:r w:rsidR="00E929FF">
        <w:t xml:space="preserve"> with Jill </w:t>
      </w:r>
      <w:proofErr w:type="spellStart"/>
      <w:r w:rsidR="00E929FF">
        <w:t>Treanor</w:t>
      </w:r>
      <w:proofErr w:type="spellEnd"/>
      <w:r w:rsidRPr="00B44268">
        <w:t xml:space="preserve"> </w:t>
      </w:r>
      <w:r w:rsidR="00E929FF">
        <w:t>published in</w:t>
      </w:r>
      <w:r w:rsidRPr="00B44268">
        <w:t xml:space="preserve"> </w:t>
      </w:r>
      <w:r>
        <w:t xml:space="preserve">the </w:t>
      </w:r>
      <w:hyperlink r:id="rId5" w:history="1">
        <w:r w:rsidRPr="00532DB0">
          <w:rPr>
            <w:rStyle w:val="Hyperlink"/>
          </w:rPr>
          <w:t>Guardian</w:t>
        </w:r>
      </w:hyperlink>
      <w:r w:rsidRPr="00B44268">
        <w:t xml:space="preserve"> </w:t>
      </w:r>
      <w:r>
        <w:t>(</w:t>
      </w:r>
      <w:r w:rsidRPr="00B44268">
        <w:t>28 March 2015</w:t>
      </w:r>
      <w:r>
        <w:t xml:space="preserve">), Lloyds’ CEO, </w:t>
      </w:r>
      <w:proofErr w:type="spellStart"/>
      <w:r w:rsidRPr="00B44268">
        <w:t>António</w:t>
      </w:r>
      <w:proofErr w:type="spellEnd"/>
      <w:r w:rsidRPr="00B44268">
        <w:t xml:space="preserve"> </w:t>
      </w:r>
      <w:proofErr w:type="spellStart"/>
      <w:r w:rsidRPr="00B44268">
        <w:t>Horta-Osório</w:t>
      </w:r>
      <w:proofErr w:type="spellEnd"/>
      <w:r>
        <w:t>, claimed he wa</w:t>
      </w:r>
      <w:r w:rsidRPr="00B44268">
        <w:t xml:space="preserve">s </w:t>
      </w:r>
      <w:r>
        <w:t>“</w:t>
      </w:r>
      <w:r w:rsidRPr="004B431F">
        <w:rPr>
          <w:i/>
        </w:rPr>
        <w:t>instilling a new culture, one where people must try to do the right thing</w:t>
      </w:r>
      <w:r>
        <w:t xml:space="preserve">” yet he has refused to credit </w:t>
      </w:r>
      <w:r w:rsidR="001E7FE6">
        <w:t xml:space="preserve">unauthorised </w:t>
      </w:r>
      <w:r>
        <w:t xml:space="preserve">overdraft fees and interest charged because of the mis-selling and </w:t>
      </w:r>
      <w:r w:rsidR="001E7FE6">
        <w:t xml:space="preserve">has </w:t>
      </w:r>
      <w:r>
        <w:t>ignored correspondence on the subject.</w:t>
      </w:r>
    </w:p>
  </w:footnote>
  <w:footnote w:id="9">
    <w:p w:rsidR="00BA2523" w:rsidRDefault="00BA2523">
      <w:pPr>
        <w:pStyle w:val="FootnoteText"/>
      </w:pPr>
      <w:r>
        <w:rPr>
          <w:rStyle w:val="FootnoteReference"/>
        </w:rPr>
        <w:footnoteRef/>
      </w:r>
      <w:r>
        <w:t xml:space="preserve"> The FSA announced the ‘sophistication test’ on 31 January 2013. It appears from a report by Andy Verity for the BBC that the ‘</w:t>
      </w:r>
      <w:hyperlink r:id="rId6" w:history="1">
        <w:r w:rsidRPr="00BA2523">
          <w:rPr>
            <w:rStyle w:val="Hyperlink"/>
          </w:rPr>
          <w:t xml:space="preserve">Regulator capped </w:t>
        </w:r>
        <w:proofErr w:type="spellStart"/>
        <w:r w:rsidRPr="00BA2523">
          <w:rPr>
            <w:rStyle w:val="Hyperlink"/>
          </w:rPr>
          <w:t>mis</w:t>
        </w:r>
        <w:proofErr w:type="spellEnd"/>
        <w:r w:rsidRPr="00BA2523">
          <w:rPr>
            <w:rStyle w:val="Hyperlink"/>
          </w:rPr>
          <w:t>-selling payments</w:t>
        </w:r>
      </w:hyperlink>
      <w:r>
        <w:t xml:space="preserve">’ following lobbying by HM Treasury. </w:t>
      </w:r>
      <w:r w:rsidRPr="00BA2523">
        <w:t xml:space="preserve">The 'sophistication test' is not a test of sophistication but a prejudicially </w:t>
      </w:r>
      <w:r>
        <w:t>named</w:t>
      </w:r>
      <w:r w:rsidRPr="00BA2523">
        <w:t xml:space="preserve"> set of criteria designed to save the banks </w:t>
      </w:r>
      <w:r>
        <w:t>an estimated £28</w:t>
      </w:r>
      <w:r w:rsidRPr="00BA2523">
        <w:t xml:space="preserve"> billion</w:t>
      </w:r>
      <w:r>
        <w:t xml:space="preserve"> GBP</w:t>
      </w:r>
      <w:r w:rsidRPr="00BA2523">
        <w:t xml:space="preserve"> </w:t>
      </w:r>
      <w:r>
        <w:t xml:space="preserve">of </w:t>
      </w:r>
      <w:r w:rsidRPr="00BA2523">
        <w:t>compensation truly owed to UK SMEs.</w:t>
      </w:r>
    </w:p>
  </w:footnote>
  <w:footnote w:id="10">
    <w:p w:rsidR="00AF3077" w:rsidRDefault="00AF3077">
      <w:pPr>
        <w:pStyle w:val="FootnoteText"/>
      </w:pPr>
      <w:r>
        <w:rPr>
          <w:rStyle w:val="FootnoteReference"/>
        </w:rPr>
        <w:footnoteRef/>
      </w:r>
      <w:r>
        <w:t xml:space="preserve"> S</w:t>
      </w:r>
      <w:r w:rsidRPr="00AF3077">
        <w:t xml:space="preserve">ee James </w:t>
      </w:r>
      <w:proofErr w:type="spellStart"/>
      <w:r w:rsidRPr="00AF3077">
        <w:t>Cusick</w:t>
      </w:r>
      <w:proofErr w:type="spellEnd"/>
      <w:r w:rsidRPr="00AF3077">
        <w:t xml:space="preserve"> reporting for the Independent on 23 June 2014: </w:t>
      </w:r>
      <w:hyperlink r:id="rId7" w:history="1">
        <w:r w:rsidRPr="00AF3077">
          <w:rPr>
            <w:rStyle w:val="Hyperlink"/>
          </w:rPr>
          <w:t xml:space="preserve">‘Exclusive: £22bn threat to banks in latest </w:t>
        </w:r>
        <w:proofErr w:type="spellStart"/>
        <w:r w:rsidRPr="00AF3077">
          <w:rPr>
            <w:rStyle w:val="Hyperlink"/>
          </w:rPr>
          <w:t>mis</w:t>
        </w:r>
        <w:proofErr w:type="spellEnd"/>
        <w:r w:rsidRPr="00AF3077">
          <w:rPr>
            <w:rStyle w:val="Hyperlink"/>
          </w:rPr>
          <w:t xml:space="preserve">-selling ‘scandal’ that could rival PPI </w:t>
        </w:r>
        <w:proofErr w:type="spellStart"/>
        <w:r w:rsidRPr="00AF3077">
          <w:rPr>
            <w:rStyle w:val="Hyperlink"/>
          </w:rPr>
          <w:t>payouts</w:t>
        </w:r>
        <w:proofErr w:type="spellEnd"/>
        <w:r w:rsidRPr="00AF3077">
          <w:rPr>
            <w:rStyle w:val="Hyperlink"/>
          </w:rPr>
          <w:t>’</w:t>
        </w:r>
      </w:hyperlink>
      <w:r>
        <w:t>.</w:t>
      </w:r>
    </w:p>
  </w:footnote>
  <w:footnote w:id="11">
    <w:p w:rsidR="00A7612C" w:rsidRDefault="00A7612C">
      <w:pPr>
        <w:pStyle w:val="FootnoteText"/>
      </w:pPr>
      <w:r>
        <w:rPr>
          <w:rStyle w:val="FootnoteReference"/>
        </w:rPr>
        <w:footnoteRef/>
      </w:r>
      <w:r>
        <w:t xml:space="preserve"> Lloyds were represented by Norton Rose </w:t>
      </w:r>
      <w:r w:rsidR="00EF2285">
        <w:t xml:space="preserve">Fulbright </w:t>
      </w:r>
      <w:r>
        <w:t>partner Mr Paul Morris</w:t>
      </w:r>
      <w:r w:rsidR="00EF2285">
        <w:t>, senior associate Mr Dominic Hennessy,</w:t>
      </w:r>
      <w:r>
        <w:t xml:space="preserve"> and </w:t>
      </w:r>
      <w:r w:rsidR="00EF2285">
        <w:t xml:space="preserve">associate Ms </w:t>
      </w:r>
      <w:proofErr w:type="spellStart"/>
      <w:r w:rsidR="00EF2285">
        <w:t>Saskia</w:t>
      </w:r>
      <w:proofErr w:type="spellEnd"/>
      <w:r w:rsidR="00EF2285">
        <w:t xml:space="preserve"> Price, in addition to Lloyds’ Head of Complaints Disputes &amp; Lit</w:t>
      </w:r>
      <w:r w:rsidR="003E110C">
        <w:t>i</w:t>
      </w:r>
      <w:r w:rsidR="00AF3077">
        <w:t>gation Programme, Mr Ed Massey</w:t>
      </w:r>
      <w:r w:rsidR="00B37E32">
        <w:t>.</w:t>
      </w:r>
    </w:p>
  </w:footnote>
  <w:footnote w:id="12">
    <w:p w:rsidR="00A7612C" w:rsidRDefault="00A7612C">
      <w:pPr>
        <w:pStyle w:val="FootnoteText"/>
      </w:pPr>
      <w:r>
        <w:rPr>
          <w:rStyle w:val="FootnoteReference"/>
        </w:rPr>
        <w:footnoteRef/>
      </w:r>
      <w:r>
        <w:t xml:space="preserve"> </w:t>
      </w:r>
      <w:r w:rsidRPr="003D75CD">
        <w:t>In June 2014, the breakage cost of the hedging was £1.8 million. By February 2015, the breakage cost had increased to £3.5 million.</w:t>
      </w:r>
    </w:p>
  </w:footnote>
  <w:footnote w:id="13">
    <w:p w:rsidR="00E20EFA" w:rsidRDefault="00E20EFA">
      <w:pPr>
        <w:pStyle w:val="FootnoteText"/>
      </w:pPr>
      <w:r>
        <w:rPr>
          <w:rStyle w:val="FootnoteReference"/>
        </w:rPr>
        <w:footnoteRef/>
      </w:r>
      <w:r>
        <w:t xml:space="preserve"> For more information on hidden swaps mis-selling see campaign group </w:t>
      </w:r>
      <w:hyperlink r:id="rId8" w:history="1">
        <w:r w:rsidRPr="00E20EFA">
          <w:rPr>
            <w:rStyle w:val="Hyperlink"/>
          </w:rPr>
          <w:t>Bully-Banks</w:t>
        </w:r>
      </w:hyperlink>
      <w:r>
        <w:t xml:space="preserve">’ </w:t>
      </w:r>
      <w:hyperlink r:id="rId9" w:history="1">
        <w:r w:rsidRPr="00E20EFA">
          <w:rPr>
            <w:rStyle w:val="Hyperlink"/>
          </w:rPr>
          <w:t>Hidden Swaps Factsheet</w:t>
        </w:r>
      </w:hyperlink>
      <w:r>
        <w:t xml:space="preserve"> and </w:t>
      </w:r>
      <w:hyperlink r:id="rId10" w:history="1">
        <w:r w:rsidRPr="00E20EFA">
          <w:rPr>
            <w:rStyle w:val="Hyperlink"/>
          </w:rPr>
          <w:t>Frequently Asked Questions</w:t>
        </w:r>
      </w:hyperlink>
      <w:r>
        <w:t>.</w:t>
      </w:r>
    </w:p>
  </w:footnote>
  <w:footnote w:id="14">
    <w:p w:rsidR="0086547D" w:rsidRDefault="0086547D">
      <w:pPr>
        <w:pStyle w:val="FootnoteText"/>
      </w:pPr>
      <w:r>
        <w:rPr>
          <w:rStyle w:val="FootnoteReference"/>
        </w:rPr>
        <w:footnoteRef/>
      </w:r>
      <w:r>
        <w:t xml:space="preserve"> See paragraphs 6(1), 9(3) and 43(3)(a) of the Defence in </w:t>
      </w:r>
      <w:r w:rsidRPr="000766DC">
        <w:t>The Coin Group Limited v. Lloyds TSB Bank PLC (High Court of Justice, Queen's Bench Division, London Mercantile</w:t>
      </w:r>
      <w:r>
        <w:t xml:space="preserve"> Court,</w:t>
      </w:r>
      <w:r w:rsidRPr="000766DC">
        <w:t xml:space="preserve"> Claim</w:t>
      </w:r>
      <w:r>
        <w:t xml:space="preserve"> No</w:t>
      </w:r>
      <w:r w:rsidRPr="000766DC">
        <w:t>: 2013 Folio 944</w:t>
      </w:r>
      <w:r>
        <w:t>)</w:t>
      </w:r>
    </w:p>
  </w:footnote>
  <w:footnote w:id="15">
    <w:p w:rsidR="008D5182" w:rsidRDefault="008D5182" w:rsidP="008D5182">
      <w:pPr>
        <w:pStyle w:val="FootnoteText"/>
      </w:pPr>
      <w:r>
        <w:rPr>
          <w:rStyle w:val="FootnoteReference"/>
        </w:rPr>
        <w:footnoteRef/>
      </w:r>
      <w:r>
        <w:t xml:space="preserve"> Martin Wheatley, Chief Executive of the Financial Conduct Authority: “</w:t>
      </w:r>
      <w:r w:rsidRPr="00B420DB">
        <w:rPr>
          <w:i/>
        </w:rPr>
        <w:t>We have concerns that firms … may consider ’embedding’ all their IRHPs into commercial loans in future and thus avoid our regulatory oversight altogether.  This could include ’embedding’ some of the most complex IRHPs (e.g. Structured Collars), which the banks have agreed to stop marketing to retail customers</w:t>
      </w:r>
      <w:r>
        <w:t xml:space="preserve">” (see </w:t>
      </w:r>
      <w:hyperlink r:id="rId11" w:history="1">
        <w:r w:rsidRPr="008D5182">
          <w:rPr>
            <w:rStyle w:val="Hyperlink"/>
          </w:rPr>
          <w:t>12 November 2013 Letter from FCA’s Martin Wheatley to HM Treasury</w:t>
        </w:r>
      </w:hyperlink>
      <w:r>
        <w:t xml:space="preserve"> and Harry Wilson reporting for the Telegraph on 19 December 2013: ‘</w:t>
      </w:r>
      <w:hyperlink r:id="rId12" w:history="1">
        <w:r w:rsidRPr="008D5182">
          <w:rPr>
            <w:rStyle w:val="Hyperlink"/>
          </w:rPr>
          <w:t>FCA chief warns Treasury swaps scandal could be 'significantly' bigger</w:t>
        </w:r>
      </w:hyperlink>
      <w:r>
        <w:t>’)</w:t>
      </w:r>
      <w:r w:rsidRPr="008D5182">
        <w:t>.</w:t>
      </w:r>
    </w:p>
  </w:footnote>
  <w:footnote w:id="16">
    <w:p w:rsidR="00195D9E" w:rsidRPr="00BD1F24" w:rsidRDefault="00195D9E">
      <w:pPr>
        <w:pStyle w:val="FootnoteText"/>
        <w:rPr>
          <w:lang w:val="en-US"/>
        </w:rPr>
      </w:pPr>
      <w:r>
        <w:rPr>
          <w:rStyle w:val="FootnoteReference"/>
        </w:rPr>
        <w:footnoteRef/>
      </w:r>
      <w:r>
        <w:t xml:space="preserve"> </w:t>
      </w:r>
      <w:r>
        <w:rPr>
          <w:lang w:val="en-US"/>
        </w:rPr>
        <w:t>Including a</w:t>
      </w:r>
      <w:r w:rsidR="00A2568D">
        <w:rPr>
          <w:lang w:val="en-US"/>
        </w:rPr>
        <w:t xml:space="preserve"> highly</w:t>
      </w:r>
      <w:r>
        <w:rPr>
          <w:lang w:val="en-US"/>
        </w:rPr>
        <w:t xml:space="preserve"> </w:t>
      </w:r>
      <w:r w:rsidR="00A2568D">
        <w:rPr>
          <w:lang w:val="en-US"/>
        </w:rPr>
        <w:t xml:space="preserve">complex </w:t>
      </w:r>
      <w:r>
        <w:rPr>
          <w:lang w:val="en-US"/>
        </w:rPr>
        <w:t>‘Category A’ Enhanced Collar</w:t>
      </w:r>
      <w:r w:rsidR="00A2568D">
        <w:rPr>
          <w:lang w:val="en-US"/>
        </w:rPr>
        <w:t xml:space="preserve">; </w:t>
      </w:r>
      <w:r w:rsidR="002217A0">
        <w:rPr>
          <w:lang w:val="en-US"/>
        </w:rPr>
        <w:t xml:space="preserve">the major banks have since agreed with the FCA not to </w:t>
      </w:r>
      <w:r w:rsidR="00A2568D">
        <w:rPr>
          <w:lang w:val="en-US"/>
        </w:rPr>
        <w:t>market</w:t>
      </w:r>
      <w:r w:rsidR="002217A0">
        <w:rPr>
          <w:lang w:val="en-US"/>
        </w:rPr>
        <w:t xml:space="preserve"> such structured collars to SME </w:t>
      </w:r>
      <w:r w:rsidR="008D5182">
        <w:rPr>
          <w:lang w:val="en-US"/>
        </w:rPr>
        <w:t>customers (see</w:t>
      </w:r>
      <w:r w:rsidR="002217A0">
        <w:rPr>
          <w:lang w:val="en-US"/>
        </w:rPr>
        <w:t xml:space="preserve"> </w:t>
      </w:r>
      <w:r w:rsidR="00A2568D">
        <w:rPr>
          <w:lang w:val="en-US"/>
        </w:rPr>
        <w:t>‘</w:t>
      </w:r>
      <w:hyperlink r:id="rId13" w:history="1">
        <w:r w:rsidR="00A2568D" w:rsidRPr="00A2568D">
          <w:rPr>
            <w:rStyle w:val="Hyperlink"/>
            <w:lang w:val="en-US"/>
          </w:rPr>
          <w:t>FSA agrees settlement with four banks over interest rate hedging products</w:t>
        </w:r>
      </w:hyperlink>
      <w:r w:rsidR="00A2568D">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12C" w:rsidRPr="00FC23EB" w:rsidRDefault="00A7612C">
    <w:pPr>
      <w:pStyle w:val="Header"/>
      <w:rPr>
        <w:smallCaps/>
        <w:sz w:val="20"/>
      </w:rPr>
    </w:pPr>
    <w:r w:rsidRPr="00FC23EB">
      <w:rPr>
        <w:smallCaps/>
        <w:sz w:val="20"/>
      </w:rPr>
      <w:t xml:space="preserve">Statement by The Coin Group Limited                                                                          </w:t>
    </w:r>
    <w:r w:rsidR="00FC23EB">
      <w:rPr>
        <w:smallCaps/>
        <w:sz w:val="20"/>
      </w:rPr>
      <w:t xml:space="preserve">                                 </w:t>
    </w:r>
    <w:r w:rsidRPr="00FC23EB">
      <w:rPr>
        <w:smallCaps/>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027"/>
    <w:multiLevelType w:val="hybridMultilevel"/>
    <w:tmpl w:val="E2DCA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B59B0"/>
    <w:multiLevelType w:val="hybridMultilevel"/>
    <w:tmpl w:val="1B68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5630D"/>
    <w:multiLevelType w:val="hybridMultilevel"/>
    <w:tmpl w:val="868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C4DEE"/>
    <w:multiLevelType w:val="hybridMultilevel"/>
    <w:tmpl w:val="E6F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D3590"/>
    <w:multiLevelType w:val="hybridMultilevel"/>
    <w:tmpl w:val="03F408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0B97"/>
    <w:multiLevelType w:val="hybridMultilevel"/>
    <w:tmpl w:val="B6D6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36149"/>
    <w:multiLevelType w:val="hybridMultilevel"/>
    <w:tmpl w:val="034832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2E"/>
    <w:rsid w:val="00073334"/>
    <w:rsid w:val="000766DC"/>
    <w:rsid w:val="000824F3"/>
    <w:rsid w:val="00084C48"/>
    <w:rsid w:val="000A08A4"/>
    <w:rsid w:val="000C197A"/>
    <w:rsid w:val="001014C0"/>
    <w:rsid w:val="00125538"/>
    <w:rsid w:val="00146515"/>
    <w:rsid w:val="0016135B"/>
    <w:rsid w:val="00195D9E"/>
    <w:rsid w:val="001A29E4"/>
    <w:rsid w:val="001B44B6"/>
    <w:rsid w:val="001E123D"/>
    <w:rsid w:val="001E4285"/>
    <w:rsid w:val="001E7FE6"/>
    <w:rsid w:val="00203768"/>
    <w:rsid w:val="002217A0"/>
    <w:rsid w:val="00233016"/>
    <w:rsid w:val="00236C6C"/>
    <w:rsid w:val="002474CC"/>
    <w:rsid w:val="0028384B"/>
    <w:rsid w:val="002B2FF1"/>
    <w:rsid w:val="002D14EA"/>
    <w:rsid w:val="00342BA8"/>
    <w:rsid w:val="00371649"/>
    <w:rsid w:val="00383E90"/>
    <w:rsid w:val="0038671E"/>
    <w:rsid w:val="003C268E"/>
    <w:rsid w:val="003D75CD"/>
    <w:rsid w:val="003E110C"/>
    <w:rsid w:val="003E4E92"/>
    <w:rsid w:val="00412A44"/>
    <w:rsid w:val="004140BC"/>
    <w:rsid w:val="00471A69"/>
    <w:rsid w:val="004730FF"/>
    <w:rsid w:val="00477204"/>
    <w:rsid w:val="004820B7"/>
    <w:rsid w:val="004A06AC"/>
    <w:rsid w:val="004B431F"/>
    <w:rsid w:val="004C67F4"/>
    <w:rsid w:val="004D05C9"/>
    <w:rsid w:val="004F5292"/>
    <w:rsid w:val="00505AE3"/>
    <w:rsid w:val="005101C7"/>
    <w:rsid w:val="00515E0C"/>
    <w:rsid w:val="00542285"/>
    <w:rsid w:val="00563D2E"/>
    <w:rsid w:val="00587C3B"/>
    <w:rsid w:val="005A10EF"/>
    <w:rsid w:val="005D3E7B"/>
    <w:rsid w:val="006066DD"/>
    <w:rsid w:val="00627D97"/>
    <w:rsid w:val="00633546"/>
    <w:rsid w:val="00634BA4"/>
    <w:rsid w:val="00691D8E"/>
    <w:rsid w:val="006A0DEF"/>
    <w:rsid w:val="006A7E0E"/>
    <w:rsid w:val="006C41F1"/>
    <w:rsid w:val="006D2D8E"/>
    <w:rsid w:val="007552CF"/>
    <w:rsid w:val="007A301D"/>
    <w:rsid w:val="007B7424"/>
    <w:rsid w:val="007C7B5D"/>
    <w:rsid w:val="00827976"/>
    <w:rsid w:val="00833957"/>
    <w:rsid w:val="00853613"/>
    <w:rsid w:val="00864FAD"/>
    <w:rsid w:val="0086547D"/>
    <w:rsid w:val="00880400"/>
    <w:rsid w:val="008B02B4"/>
    <w:rsid w:val="008B112D"/>
    <w:rsid w:val="008B363B"/>
    <w:rsid w:val="008D332E"/>
    <w:rsid w:val="008D5182"/>
    <w:rsid w:val="008F2139"/>
    <w:rsid w:val="00987F25"/>
    <w:rsid w:val="009A21D8"/>
    <w:rsid w:val="009A79F3"/>
    <w:rsid w:val="009F48F1"/>
    <w:rsid w:val="00A0606C"/>
    <w:rsid w:val="00A2568D"/>
    <w:rsid w:val="00A41FDA"/>
    <w:rsid w:val="00A7612C"/>
    <w:rsid w:val="00AA0F87"/>
    <w:rsid w:val="00AB08BB"/>
    <w:rsid w:val="00AE528B"/>
    <w:rsid w:val="00AF3077"/>
    <w:rsid w:val="00B00C49"/>
    <w:rsid w:val="00B11EDA"/>
    <w:rsid w:val="00B12FDB"/>
    <w:rsid w:val="00B37E32"/>
    <w:rsid w:val="00B420DB"/>
    <w:rsid w:val="00B44268"/>
    <w:rsid w:val="00B45900"/>
    <w:rsid w:val="00B52807"/>
    <w:rsid w:val="00B541A0"/>
    <w:rsid w:val="00B93D08"/>
    <w:rsid w:val="00BA2523"/>
    <w:rsid w:val="00BA591A"/>
    <w:rsid w:val="00BD1F24"/>
    <w:rsid w:val="00C108B3"/>
    <w:rsid w:val="00C277A8"/>
    <w:rsid w:val="00C94227"/>
    <w:rsid w:val="00D12584"/>
    <w:rsid w:val="00D22819"/>
    <w:rsid w:val="00D2789C"/>
    <w:rsid w:val="00D314C0"/>
    <w:rsid w:val="00D61A49"/>
    <w:rsid w:val="00D63FF0"/>
    <w:rsid w:val="00DD2F7F"/>
    <w:rsid w:val="00E20EFA"/>
    <w:rsid w:val="00E3437A"/>
    <w:rsid w:val="00E929FF"/>
    <w:rsid w:val="00EA6442"/>
    <w:rsid w:val="00ED3123"/>
    <w:rsid w:val="00EF2285"/>
    <w:rsid w:val="00F12840"/>
    <w:rsid w:val="00F213E9"/>
    <w:rsid w:val="00F447E6"/>
    <w:rsid w:val="00F54348"/>
    <w:rsid w:val="00FA6D76"/>
    <w:rsid w:val="00FC23EB"/>
    <w:rsid w:val="00FF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docId w15:val="{4622A0EE-5290-40E8-8C7B-7F77A31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840"/>
    <w:pPr>
      <w:ind w:left="720"/>
      <w:contextualSpacing/>
    </w:pPr>
  </w:style>
  <w:style w:type="paragraph" w:styleId="FootnoteText">
    <w:name w:val="footnote text"/>
    <w:basedOn w:val="Normal"/>
    <w:link w:val="FootnoteTextChar"/>
    <w:uiPriority w:val="99"/>
    <w:unhideWhenUsed/>
    <w:rsid w:val="006A7E0E"/>
    <w:pPr>
      <w:spacing w:after="0" w:line="240" w:lineRule="auto"/>
    </w:pPr>
    <w:rPr>
      <w:sz w:val="20"/>
      <w:szCs w:val="20"/>
    </w:rPr>
  </w:style>
  <w:style w:type="character" w:customStyle="1" w:styleId="FootnoteTextChar">
    <w:name w:val="Footnote Text Char"/>
    <w:basedOn w:val="DefaultParagraphFont"/>
    <w:link w:val="FootnoteText"/>
    <w:uiPriority w:val="99"/>
    <w:rsid w:val="006A7E0E"/>
    <w:rPr>
      <w:sz w:val="20"/>
      <w:szCs w:val="20"/>
    </w:rPr>
  </w:style>
  <w:style w:type="character" w:styleId="FootnoteReference">
    <w:name w:val="footnote reference"/>
    <w:basedOn w:val="DefaultParagraphFont"/>
    <w:uiPriority w:val="99"/>
    <w:unhideWhenUsed/>
    <w:rsid w:val="006A7E0E"/>
    <w:rPr>
      <w:vertAlign w:val="superscript"/>
    </w:rPr>
  </w:style>
  <w:style w:type="character" w:styleId="Hyperlink">
    <w:name w:val="Hyperlink"/>
    <w:basedOn w:val="DefaultParagraphFont"/>
    <w:uiPriority w:val="99"/>
    <w:unhideWhenUsed/>
    <w:rsid w:val="00073334"/>
    <w:rPr>
      <w:color w:val="0000FF" w:themeColor="hyperlink"/>
      <w:u w:val="single"/>
    </w:rPr>
  </w:style>
  <w:style w:type="paragraph" w:styleId="Header">
    <w:name w:val="header"/>
    <w:basedOn w:val="Normal"/>
    <w:link w:val="HeaderChar"/>
    <w:uiPriority w:val="99"/>
    <w:unhideWhenUsed/>
    <w:rsid w:val="002D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EA"/>
  </w:style>
  <w:style w:type="paragraph" w:styleId="Footer">
    <w:name w:val="footer"/>
    <w:basedOn w:val="Normal"/>
    <w:link w:val="FooterChar"/>
    <w:uiPriority w:val="99"/>
    <w:unhideWhenUsed/>
    <w:rsid w:val="002D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EA"/>
  </w:style>
  <w:style w:type="character" w:styleId="CommentReference">
    <w:name w:val="annotation reference"/>
    <w:basedOn w:val="DefaultParagraphFont"/>
    <w:uiPriority w:val="99"/>
    <w:semiHidden/>
    <w:unhideWhenUsed/>
    <w:rsid w:val="007552CF"/>
    <w:rPr>
      <w:sz w:val="16"/>
      <w:szCs w:val="16"/>
    </w:rPr>
  </w:style>
  <w:style w:type="paragraph" w:styleId="CommentText">
    <w:name w:val="annotation text"/>
    <w:basedOn w:val="Normal"/>
    <w:link w:val="CommentTextChar"/>
    <w:uiPriority w:val="99"/>
    <w:semiHidden/>
    <w:unhideWhenUsed/>
    <w:rsid w:val="007552CF"/>
    <w:pPr>
      <w:spacing w:line="240" w:lineRule="auto"/>
    </w:pPr>
    <w:rPr>
      <w:sz w:val="20"/>
      <w:szCs w:val="20"/>
    </w:rPr>
  </w:style>
  <w:style w:type="character" w:customStyle="1" w:styleId="CommentTextChar">
    <w:name w:val="Comment Text Char"/>
    <w:basedOn w:val="DefaultParagraphFont"/>
    <w:link w:val="CommentText"/>
    <w:uiPriority w:val="99"/>
    <w:semiHidden/>
    <w:rsid w:val="007552CF"/>
    <w:rPr>
      <w:sz w:val="20"/>
      <w:szCs w:val="20"/>
    </w:rPr>
  </w:style>
  <w:style w:type="paragraph" w:styleId="CommentSubject">
    <w:name w:val="annotation subject"/>
    <w:basedOn w:val="CommentText"/>
    <w:next w:val="CommentText"/>
    <w:link w:val="CommentSubjectChar"/>
    <w:uiPriority w:val="99"/>
    <w:semiHidden/>
    <w:unhideWhenUsed/>
    <w:rsid w:val="007552CF"/>
    <w:rPr>
      <w:b/>
      <w:bCs/>
    </w:rPr>
  </w:style>
  <w:style w:type="character" w:customStyle="1" w:styleId="CommentSubjectChar">
    <w:name w:val="Comment Subject Char"/>
    <w:basedOn w:val="CommentTextChar"/>
    <w:link w:val="CommentSubject"/>
    <w:uiPriority w:val="99"/>
    <w:semiHidden/>
    <w:rsid w:val="007552CF"/>
    <w:rPr>
      <w:b/>
      <w:bCs/>
      <w:sz w:val="20"/>
      <w:szCs w:val="20"/>
    </w:rPr>
  </w:style>
  <w:style w:type="paragraph" w:styleId="BalloonText">
    <w:name w:val="Balloon Text"/>
    <w:basedOn w:val="Normal"/>
    <w:link w:val="BalloonTextChar"/>
    <w:uiPriority w:val="99"/>
    <w:semiHidden/>
    <w:unhideWhenUsed/>
    <w:rsid w:val="0075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CF"/>
    <w:rPr>
      <w:rFonts w:ascii="Segoe UI" w:hAnsi="Segoe UI" w:cs="Segoe UI"/>
      <w:sz w:val="18"/>
      <w:szCs w:val="18"/>
    </w:rPr>
  </w:style>
  <w:style w:type="character" w:styleId="FollowedHyperlink">
    <w:name w:val="FollowedHyperlink"/>
    <w:basedOn w:val="DefaultParagraphFont"/>
    <w:uiPriority w:val="99"/>
    <w:semiHidden/>
    <w:unhideWhenUsed/>
    <w:rsid w:val="00C27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law.co.uk/our-people/m-ali-akram/" TargetMode="External"/><Relationship Id="rId13" Type="http://schemas.openxmlformats.org/officeDocument/2006/relationships/hyperlink" Target="http://www.vedantahedging.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dantahedging.com/meet-the-team/" TargetMode="External"/><Relationship Id="rId17" Type="http://schemas.openxmlformats.org/officeDocument/2006/relationships/hyperlink" Target="mailto:errol@coin-uk.co.uk" TargetMode="External"/><Relationship Id="rId2" Type="http://schemas.openxmlformats.org/officeDocument/2006/relationships/numbering" Target="numbering.xml"/><Relationship Id="rId16" Type="http://schemas.openxmlformats.org/officeDocument/2006/relationships/hyperlink" Target="https://youtu.be/YBXobOk0EZ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law.co.uk/" TargetMode="External"/><Relationship Id="rId5" Type="http://schemas.openxmlformats.org/officeDocument/2006/relationships/webSettings" Target="webSettings.xml"/><Relationship Id="rId15" Type="http://schemas.openxmlformats.org/officeDocument/2006/relationships/hyperlink" Target="mailto:maa@lexlaw.co.uk" TargetMode="External"/><Relationship Id="rId10" Type="http://schemas.openxmlformats.org/officeDocument/2006/relationships/hyperlink" Target="http://lexlaw.co.uk/our-people/kumaran-sivathillainath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xlaw.co.uk/" TargetMode="External"/><Relationship Id="rId14" Type="http://schemas.openxmlformats.org/officeDocument/2006/relationships/hyperlink" Target="mailto:abhishek@vedantahedging.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ully-banks.co.uk" TargetMode="External"/><Relationship Id="rId13" Type="http://schemas.openxmlformats.org/officeDocument/2006/relationships/hyperlink" Target="http://www.fsa.gov.uk/library/communication/pr/2012/071.shtml" TargetMode="External"/><Relationship Id="rId3" Type="http://schemas.openxmlformats.org/officeDocument/2006/relationships/hyperlink" Target="http://t.co/wUnAo5nBD6" TargetMode="External"/><Relationship Id="rId7" Type="http://schemas.openxmlformats.org/officeDocument/2006/relationships/hyperlink" Target="http://www.independent.co.uk/news/uk/politics/exclusive-new-bank-interest-rate-protection-scandal-as-big-as-ppi-9558029.html" TargetMode="External"/><Relationship Id="rId12" Type="http://schemas.openxmlformats.org/officeDocument/2006/relationships/hyperlink" Target="http://www.telegraph.co.uk/finance/newsbysector/banksandfinance/10527353/FCA-chief-warns-Treasury-swaps-scandal-could-be-significantly-bigger.html" TargetMode="External"/><Relationship Id="rId2" Type="http://schemas.openxmlformats.org/officeDocument/2006/relationships/hyperlink" Target="http://www.fsa.gov.uk/pubs/other/interest-rate-swaps-2013.pdf" TargetMode="External"/><Relationship Id="rId1" Type="http://schemas.openxmlformats.org/officeDocument/2006/relationships/hyperlink" Target="http://lexlaw.co.uk/wp-content/uploads/2014/12/101013-Letter-LEXLAW-to-FCA-FAILINGS-IN-AND-ABUSES-OF-THE-IRHP-REVIEW.pdf" TargetMode="External"/><Relationship Id="rId6" Type="http://schemas.openxmlformats.org/officeDocument/2006/relationships/hyperlink" Target="http://www.bbc.co.uk/news/business-33647312" TargetMode="External"/><Relationship Id="rId11" Type="http://schemas.openxmlformats.org/officeDocument/2006/relationships/hyperlink" Target="http://lexlaw.co.uk/wp-content/uploads/2014/07/121113-Letter-from-FCA-Martin-Wheatley-to-HM-Treasury-LEXLAW-Solicitors.pdf" TargetMode="External"/><Relationship Id="rId5" Type="http://schemas.openxmlformats.org/officeDocument/2006/relationships/hyperlink" Target="http://www.theguardian.com/business/2015/mar/28/lloyds-boss-antonio-horta-osorio-defends-record" TargetMode="External"/><Relationship Id="rId10" Type="http://schemas.openxmlformats.org/officeDocument/2006/relationships/hyperlink" Target="http://www.bully-banks.co.uk/site/app-hidden-swaps-menu/hidden-swap-faq-s" TargetMode="External"/><Relationship Id="rId4" Type="http://schemas.openxmlformats.org/officeDocument/2006/relationships/hyperlink" Target="http://www.thesundaytimes.co.uk/sto/business/article1510994.ece" TargetMode="External"/><Relationship Id="rId9" Type="http://schemas.openxmlformats.org/officeDocument/2006/relationships/hyperlink" Target="http://www.bully-banks.co.uk/site/app-hidden-swaps-menu/hidden-swap-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DE13-32EE-4126-BE87-637E64FC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Sivakumaran Sivathillainathan</dc:creator>
  <cp:lastModifiedBy>M Ali Akram</cp:lastModifiedBy>
  <cp:revision>4</cp:revision>
  <cp:lastPrinted>2015-07-25T20:02:00Z</cp:lastPrinted>
  <dcterms:created xsi:type="dcterms:W3CDTF">2015-07-25T20:03:00Z</dcterms:created>
  <dcterms:modified xsi:type="dcterms:W3CDTF">2015-07-25T20:19:00Z</dcterms:modified>
</cp:coreProperties>
</file>